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NEDA DASTAFKAN</w:t>
            </w:r>
          </w:p>
          <w:p w:rsidR="00C275A3" w:rsidRDefault="00CA6B74" w:rsidP="00C275A3">
            <w:pPr>
              <w:pStyle w:val="Hallgatokepzes"/>
            </w:pPr>
            <w:r w:rsidRPr="001067CD">
              <w:rPr>
                <w:i/>
              </w:rPr>
              <w:t>nedadastafkan0@gmail.com</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Vincze Orsolya</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perzsa pragmatikus sémák használata a bevándorlók generációi között határokon átívelően.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Cultural pragmatic schema, Immigrants, Persian language, Politeness, Ta'arof</w:t>
      </w:r>
      <w:r>
        <w:t xml:space="preserve"/>
      </w:r>
    </w:p>
    <w:p>
      <w:pPr>
        <w:widowControl w:val="on"/>
        <w:pBdr/>
        <w:spacing w:before="240" w:after="240" w:line="240" w:lineRule="auto"/>
        <w:ind w:left="0" w:right="0"/>
        <w:jc w:val="left"/>
      </w:pPr>
      <w:r>
        <w:rPr>
          <w:color w:val="000000"/>
          <w:sz w:val="24"/>
          <w:szCs w:val="24"/>
        </w:rPr>
        <w:t xml:space="preserve">Cultural pragmatic schemas are tools speakers utilize to navigate communication,which can foster better adaptation or lead to cross-cultural pragmatic failures, especially in themigration context. This study investigates the recall, recognition, and naming of Persian culturally specified pragmatic schemas—ta’arof, shekasteh-nafsi, sharmandegi, and ru-darbayesti—among two generations of Iranian immigrants and non-immigrants. A total of 41participants completed a repetitive experimental paradigm involving recalling a story infused with neutral and highly Persian pragmatic schematic sentences, along with questionnaires assessing value orientation, national identity, and frequency of language use. The findings reveal that the story recalls tend to become simpler over time while incorporating additional elements of Persian politeness, such as the concept of "aberu." Differences were observed in the types and distribution of schemas, with ta’arof emerging as dominant across retention, recognition, and explicitly naming, whereas shekasteh-nafsi was the least presented. Cultural pragmatic schemas are strongly tied to social interaction and not influenced by national identity despite the high national identity of the sample. Conservation values selectively contributed to great awareness of some particular schemas, such as sharmandegi and ru-dar-bayesti, which aim to avoid face-threatening acts. Overall, culturally specific pragmatic schemas are highly can be influenced by residency and migration status, persisting in various forms and degrees. However, the study's online nature and limited sample size constrain the generalizability of the findings. Future research should include a more extensive and diverse sample, including Iranians living abroad, and consider the effects of political, religious, and acculturation factors to provide a more comprehensive understanding of cultural immersion. This study may help better understand the psychological and linguistic dynamics in immigrant communities and contribute to developing immigrant policies, education, well-being, and public relations.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63331">
    <w:multiLevelType w:val="hybridMultilevel"/>
    <w:lvl w:ilvl="0" w:tplc="72375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63331">
    <w:abstractNumId w:val="39763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66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