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kovacs.tibi.2001@gmail.com</w:t>
            </w:r>
            <w:r w:rsidRPr="001067CD">
              <w:rPr>
                <w:i/>
              </w:rPr>
              <w:br/>
            </w:r>
            <w:r w:rsidR="00A96AEC">
              <w:t>földrajztanár-történelemtanár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Bánkuti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művészi pálya életrajzi tere. Mozaikok Soltra Elemér életéből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Soltra Elemér; életút; szocreál; absztrakt; mozaik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Soltra Elemér életútját vizsgálom gyermekkorától, egészen az 1960-as évek</w:t>
      </w:r>
      <w:r>
        <w:rPr>
          <w:color w:val="000000"/>
          <w:sz w:val="24"/>
          <w:szCs w:val="24"/>
        </w:rPr>
        <w:br/>
        <w:t xml:space="preserve">közepéig, különös tekintettel a képzőművész pályáját és munkásságát meghatározó</w:t>
      </w:r>
      <w:r>
        <w:rPr>
          <w:color w:val="000000"/>
          <w:sz w:val="24"/>
          <w:szCs w:val="24"/>
        </w:rPr>
        <w:br/>
        <w:t xml:space="preserve">fordulópontokra. Kutatásom folyamán a fókusz azokra a történeti és politikai tényezőkre, illetve</w:t>
      </w:r>
      <w:r>
        <w:rPr>
          <w:color w:val="000000"/>
          <w:sz w:val="24"/>
          <w:szCs w:val="24"/>
        </w:rPr>
        <w:br/>
        <w:t xml:space="preserve">körülményekre irányul, amelyek mentén az alkotó lehetőségei, döntései és választásai történeti</w:t>
      </w:r>
      <w:r>
        <w:rPr>
          <w:color w:val="000000"/>
          <w:sz w:val="24"/>
          <w:szCs w:val="24"/>
        </w:rPr>
        <w:br/>
        <w:t xml:space="preserve">összefüggésrendszerükben követhetőek nyomon.</w:t>
      </w:r>
      <w:r>
        <w:rPr>
          <w:color w:val="000000"/>
          <w:sz w:val="24"/>
          <w:szCs w:val="24"/>
        </w:rPr>
        <w:br/>
        <w:t xml:space="preserve">Soltra gyermekkorát, gimnáziumi, majd főiskolai éveit tárgyaló fejezet után érünk a dolgozat</w:t>
      </w:r>
      <w:r>
        <w:rPr>
          <w:color w:val="000000"/>
          <w:sz w:val="24"/>
          <w:szCs w:val="24"/>
        </w:rPr>
        <w:br/>
        <w:t xml:space="preserve">központi kérdéséhez, mely Soltra vezetői praxisával foglalkozik. A képzőművész 1951-ben</w:t>
      </w:r>
      <w:r>
        <w:rPr>
          <w:color w:val="000000"/>
          <w:sz w:val="24"/>
          <w:szCs w:val="24"/>
        </w:rPr>
        <w:br/>
        <w:t xml:space="preserve">érkezik Pécsre és minden előzmény nélkül a képző- és iparművészeket tömörítő szövetség</w:t>
      </w:r>
      <w:r>
        <w:rPr>
          <w:color w:val="000000"/>
          <w:sz w:val="24"/>
          <w:szCs w:val="24"/>
        </w:rPr>
        <w:br/>
        <w:t xml:space="preserve">baranyai elnöke lesz. Pályájának e „szocreál” zenitje után, az 1950-es évek második felében</w:t>
      </w:r>
      <w:r>
        <w:rPr>
          <w:color w:val="000000"/>
          <w:sz w:val="24"/>
          <w:szCs w:val="24"/>
        </w:rPr>
        <w:br/>
        <w:t xml:space="preserve">Soltra némileg háttérbe szorul, s majd az 1960-as évek elején következik újabb fordulat:</w:t>
      </w:r>
      <w:r>
        <w:rPr>
          <w:color w:val="000000"/>
          <w:sz w:val="24"/>
          <w:szCs w:val="24"/>
        </w:rPr>
        <w:br/>
        <w:t xml:space="preserve">visszatér a képzőművészek első vonalába. A fordulat Soltra művészetében is tetten érhető.</w:t>
      </w:r>
      <w:r>
        <w:rPr>
          <w:color w:val="000000"/>
          <w:sz w:val="24"/>
          <w:szCs w:val="24"/>
        </w:rPr>
        <w:br/>
        <w:t xml:space="preserve">Ebben az időszakban kezd absztrakt formákkal kísérletezni.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04321">
    <w:multiLevelType w:val="hybridMultilevel"/>
    <w:lvl w:ilvl="0" w:tplc="59066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04321">
    <w:abstractNumId w:val="88504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97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