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TÖRÖK DÓRA VIKTÓRIA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torokdoraviktoria@gmail.com</w:t>
            </w:r>
            <w:r w:rsidRPr="001067CD">
              <w:rPr>
                <w:i/>
              </w:rPr>
              <w:br/>
            </w:r>
            <w:r w:rsidR="00A96AEC">
              <w:t>Kémia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Természettudományi és 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Kállay Csilla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DE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Szalán típusú vegyületek átmenetifémionokkal való kölcsönhatása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Komplexképződés; fémionmegkötő-képesség; fémionkatalizált oxidáció; peptid; human prion protein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során szalán típusú vegyületek komplexképző tulajdonságait, valamint a peptidek fémionkatalizált oxidációjával szembeni védőhatását tanulmányoztuk. Vizsgáltuk a szerkezet és a fémkomplexek stabilitása közötti összefüggést; hogy a donoratomok közötti híd növekvő mérete hogyan befolyásolja a fémionmegkötő-képességet és a peptidek fémionkatalizált oxidációjával szembeni védelmét. Vizsgálatainkhoz pH-potenciometriát, UV-Vis spektrofotometriát, HPLC technikát alkalmaztunk.</w:t>
      </w:r>
      <w:r>
        <w:rPr>
          <w:color w:val="000000"/>
          <w:sz w:val="24"/>
          <w:szCs w:val="24"/>
        </w:rPr>
        <w:br/>
        <w:t xml:space="preserve">Vizsgálataink során megállapítottuk, hogy a donoratomok közötti híd növekvő mérete jellemzően növeli ligandumok bázicitását, azonban ez nem jár a fémionmegkötő-képesség növekedésével. Egyik vizsgált átmenetifémion (Cu(II), Ni(II) és Zn(II)) esetén sem kedvez ez a tényező a fémionmegkötésnek, de a Cu(II)-ionok esetén lehetővé teszi, hogy egyetlen ligandumhoz több fémion is koordinálódjon, illetve hogy dimer szerkezetű komplexek alakuljanak ki.</w:t>
      </w:r>
      <w:r>
        <w:rPr>
          <w:color w:val="000000"/>
          <w:sz w:val="24"/>
          <w:szCs w:val="24"/>
        </w:rPr>
        <w:br/>
        <w:t xml:space="preserve">A vegyületek védőhatását a peptidek oxidációjával szemben egy human prion protein fragmens (HuPrP(103-112)) esetén a Cu(II)/H2O2 rendszerrel tanulmányoztuk. A vizsgált ligandumok visszaszorították a peptid fémionkatalizált oxidációját. Ez a hatás azonban alulmaradt a kutatócsoportunkban korábban vizsgált hasonló koordinációs módú szalán vegyületekkel szemben. Ez alapján az állapítható meg, hogy a védőhatás sokkal hatékonyabb, hogyha a Cu(II)-ion koordinációs szférája telített, ami a donoratomok közötti rövidebb összekötő hidak esetén valósulhat meg.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5543207">
    <w:multiLevelType w:val="hybridMultilevel"/>
    <w:lvl w:ilvl="0" w:tplc="309776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5543207">
    <w:abstractNumId w:val="3554320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7594818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