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KUPÁS LŐRINC PÁL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klorinc123@gmail.com</w:t>
            </w:r>
            <w:r w:rsidRPr="001067CD">
              <w:rPr>
                <w:i/>
              </w:rPr>
              <w:br/>
            </w:r>
            <w:r w:rsidR="00A96AEC">
              <w:t>Fizikus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Makk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Scherübl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BME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Nanovezetékek kapcsolási-dinamikájának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szupravezetés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Szupravezető építőelemeket tartalmazó integrált áramkörök számos előnnyel bírnak, például nagy sebességgel és alacsony energiafogyasztással. Az elmúlt években meglepő módon teljesen fémes vezetékek esetében a szuperáram hangolását figyelték meg egy közeli elektródára adott feszültséggel. Ez a jelenség felhasználható szupravezető anyagokból kapuvezérlésű tranzisztorok előállítására, hasonlóan a térhatású tranzisztorokhoz. A szuperáram elnyomását több munkában is vizsgálták, de a mikroszkópos magyarázatot illetően nincs tudományos konszenzus [1-3].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Ebben a munkában a szuperáram kapufeszültséggel történő elnyomását vizsgáltuk indium-arzenid vezetékekre növesztett alumínium mintában. A minta DC viselkedését korábban feltérképezte a kutatócsoport [4]. Azt találtuk, hogy a vizsgált minta a kapuelektródára küldött gyors pulzusokkal nanoszekundumos időskálán kapcsolható, ami lehetőséget teremt nagyfrekvenciás szupravezető-elektronika realizálására.</w:t>
      </w:r>
      <w:r>
        <w:rPr>
          <w:color w:val="000000"/>
          <w:sz w:val="24"/>
          <w:szCs w:val="24"/>
        </w:rPr>
        <w:br/>
        <w:t xml:space="preserve">Ehhez egy nanoszekundomos pulzusok küldésére és olvasására alkalmas mérőrendszert használtunk. Karakterizáltuk a minta RF transzmissziós tulajdonságait és DC transzport viselkedését. Tanulmányoztuk a minta kapcsolási-dinamikáját és elemeztük az elérhető legnagyobb kapcsolási-frekvenciát. Vizsgálataink eredményeképpen két különböző kapcsolási-mechanizmust azonosítottunk. Végül az eredményeket egyszerű modellek segítségével értelmeztük.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Irodalom:</w:t>
      </w:r>
      <w:r>
        <w:rPr>
          <w:color w:val="000000"/>
          <w:sz w:val="24"/>
          <w:szCs w:val="24"/>
        </w:rPr>
        <w:br/>
        <w:t xml:space="preserve">[1] Giorgio De Simoni, Federico Paolucci, Paolo Solinas, Elia Strambini, Francesco Giazotto, Nature Nanotechnology 13.9 (2018): 802-805.</w:t>
      </w:r>
      <w:r>
        <w:rPr>
          <w:color w:val="000000"/>
          <w:sz w:val="24"/>
          <w:szCs w:val="24"/>
        </w:rPr>
        <w:br/>
        <w:t xml:space="preserve">[2] M. F. Ritter, A. Fuhrer, D. Z. Haxell, S. Hart, P. Gumann, H. Riel, F. Nichele, Nature Communications 12 (2021): 1-6.</w:t>
      </w:r>
      <w:r>
        <w:rPr>
          <w:color w:val="000000"/>
          <w:sz w:val="24"/>
          <w:szCs w:val="24"/>
        </w:rPr>
        <w:br/>
        <w:t xml:space="preserve">[3] Loren D. Alegria, Charlotte G. L. Bøttcher, Andrew K. Saydjari, Andrew T. Pierce, Seung Hwan Lee, Shannon P. Harvey, Uri Vool, Amir Yacoby, Nature Nanotechnology 16, (2021): 404-408.</w:t>
      </w:r>
      <w:r>
        <w:rPr>
          <w:color w:val="000000"/>
          <w:sz w:val="24"/>
          <w:szCs w:val="24"/>
        </w:rPr>
        <w:br/>
        <w:t xml:space="preserve">[4] Tosson Elalaily, Martin Berke, Ilari Lilja, Alexander Savin, Gergő Fülöp, Lőrinc Kupás, Thomas Kanne, Jesper Nygård, Péter Makk, Pertti Hakonen, Szabolcs Csonka, https://arxiv.org/abs/2312.15453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229692">
    <w:multiLevelType w:val="hybridMultilevel"/>
    <w:lvl w:ilvl="0" w:tplc="518872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229692">
    <w:abstractNumId w:val="1522969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9933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