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ABDULRAHMAN MOHAMED ALSADIQ ABDULMOHSEN SEDDIK</w:t>
            </w:r>
          </w:p>
          <w:p w:rsidR="00C275A3" w:rsidRDefault="00CA6B74" w:rsidP="00C275A3">
            <w:pPr>
              <w:pStyle w:val="Hallgatokepzes"/>
            </w:pPr>
            <w:r w:rsidRPr="001067CD">
              <w:rPr>
                <w:i/>
              </w:rPr>
              <w:t>abdulrahman.m.alsadiq@gmail.com</w:t>
            </w:r>
            <w:r w:rsidRPr="001067CD">
              <w:rPr>
                <w:i/>
              </w:rPr>
              <w:br/>
            </w:r>
            <w:r w:rsidR="00A96AEC">
              <w:t>Student</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Máté</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Differential Gene Expression in Zebrafish recql4 Mutants: A Transcriptomic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zebrafish;RecQ helicases;Genomic stability;Apoptosis;Transcriptomic analysis</w:t>
      </w:r>
      <w:r>
        <w:t xml:space="preserve"/>
      </w:r>
    </w:p>
    <w:p>
      <w:pPr>
        <w:widowControl w:val="on"/>
        <w:pBdr/>
        <w:spacing w:before="240" w:after="240" w:line="240" w:lineRule="auto"/>
        <w:ind w:left="0" w:right="0"/>
        <w:jc w:val="left"/>
      </w:pPr>
      <w:r>
        <w:rPr>
          <w:color w:val="000000"/>
          <w:sz w:val="24"/>
          <w:szCs w:val="24"/>
        </w:rPr>
        <w:t xml:space="preserve">RecQ family helicases (WRN, BLM, RECQL1, RECQL4, and RECQL5) are crucial proteins responsible for maintaining the genomic stability of eukaryotic cells. Mutations in three of the genes encoding these helicases (WRN, BLM, and RECQL4) are associated with severe syndromes, including Werner syndrome, Bloom syndrome, and Rothmund-Thomson syndrome (RTS), respectively. The RECQL4 gene is particularly significant, as its mutations can lead to three clinical phenotypes, RTS, RAPADILINO, and Baller-Gerold syndrome (BGS), each characterized by skeletal abnormalities, juvenile cataracts, and a predisposition to osteosarcoma.</w:t>
      </w:r>
    </w:p>
    <w:p>
      <w:pPr>
        <w:widowControl w:val="on"/>
        <w:pBdr/>
        <w:spacing w:before="240" w:after="240" w:line="240" w:lineRule="auto"/>
        <w:ind w:left="0" w:right="0"/>
        <w:jc w:val="left"/>
      </w:pPr>
      <w:r>
        <w:rPr>
          <w:color w:val="000000"/>
          <w:sz w:val="24"/>
          <w:szCs w:val="24"/>
        </w:rPr>
        <w:br/>
        <w:t xml:space="preserve">Using zebrafish (Danio rerio) to model RECQL4-related diseases we generated homozygous recql4 mutants that displayed severe and lethal phenotypes, including skeletal deformities, heart edema, and poor eye development, leading to death by 5-7 days post-fertilization (dpf). As the earliest phenotype observable in mutants is the presence of extended apoptosis in the brain, at 2 dpf, we decided to assess the molecular effects of recql4 mutations using this timepoint. We extracted and sequenced the transcriptome from mutant and wild type embryos to identify differentially expressed genes (DEGs) and disrupted pathways. Our results showed upregulation of genes associated with apoptosis and cell-cycle regulation, and downregulation of genes related to DNA and chromatin integrity.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00732">
    <w:multiLevelType w:val="hybridMultilevel"/>
    <w:lvl w:ilvl="0" w:tplc="48035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00732">
    <w:abstractNumId w:val="65400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743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