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TÖRÖK ANDRÁS</w:t>
            </w:r>
          </w:p>
          <w:p w:rsidR="00C275A3" w:rsidRDefault="00CA6B74" w:rsidP="00C275A3">
            <w:pPr>
              <w:pStyle w:val="Hallgatokepzes"/>
            </w:pPr>
            <w:r w:rsidRPr="001067CD">
              <w:rPr>
                <w:i/>
              </w:rPr>
              <w:t>torok.andras55@gmail.com</w:t>
            </w:r>
            <w:r w:rsidRPr="001067CD">
              <w:rPr>
                <w:i/>
              </w:rPr>
              <w:br/>
            </w:r>
            <w:r w:rsidR="00A96AEC">
              <w:t>Biológus</w:t>
            </w:r>
            <w:r w:rsidR="00A96AEC">
              <w:br/>
            </w:r>
            <w:r w:rsidR="00E77B23">
              <w:t>MSc, 3.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Bencsik Norbert</w:t>
            </w:r>
          </w:p>
          <w:p w:rsidR="00DB4822" w:rsidRDefault="00DB4822" w:rsidP="00BA6BAF">
            <w:pPr>
              <w:pStyle w:val="Konzulensektitulus"/>
            </w:pPr>
            <w:r w:rsidRPr="00DB4822">
              <w:t>egyetemi adjunktus, ELTE TTK</w:t>
            </w:r>
          </w:p>
        </w:tc>
      </w:tr>
      <w:tr w:rsidR="00DB4822" w:rsidTr="00DB4822">
        <w:tc>
          <w:tcPr>
            <w:tcW w:w="9854" w:type="dxa"/>
          </w:tcPr>
          <w:p w:rsidR="00DB4822" w:rsidRPr="00DB4822" w:rsidRDefault="00DB4822" w:rsidP="00BA6BAF">
            <w:pPr>
              <w:pStyle w:val="Konzulenseknev"/>
            </w:pPr>
            <w:r w:rsidRPr="00DB4822">
              <w:t>Dr. Schlett Katalin</w:t>
            </w:r>
          </w:p>
          <w:p w:rsidR="00DB4822" w:rsidRDefault="00DB4822" w:rsidP="00BA6BAF">
            <w:pPr>
              <w:pStyle w:val="Konzulensektitulus"/>
            </w:pPr>
            <w:r w:rsidRPr="00DB4822">
              <w:t>habilitált 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Caskin neuronális állványfehérjék izoforma specifikus viselkedés szabályozó szerepe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Caskin; állványfehérje; AMPA; GluA1; üveggolyó elásás teszt</w:t>
      </w:r>
      <w:r>
        <w:t xml:space="preserve"/>
      </w:r>
    </w:p>
    <w:p>
      <w:pPr>
        <w:widowControl w:val="on"/>
        <w:pBdr/>
        <w:spacing w:before="240" w:after="240" w:line="240" w:lineRule="auto"/>
        <w:ind w:left="0" w:right="0"/>
        <w:jc w:val="left"/>
      </w:pPr>
      <w:r>
        <w:rPr>
          <w:color w:val="000000"/>
          <w:sz w:val="24"/>
          <w:szCs w:val="24"/>
        </w:rPr>
        <w:t xml:space="preserve">Caskin proteins are present in two isoforms, Caskin1 and 2, which show high amount of homology, but have different distribution and possibly functions. Currently there is no data available regarding the isoform specific effects of these proteins. However, according to our previous results, lack of both Caskin proteins significantly impairs learning and memory, without greatly affecting motor coordination. Caskin double knockdown (dKO) also resulted in modified phosphorylation patterns and altered activity dependent trafficking of GluA1 subunits of AMPA receptor in hippocampal neuronal cultures. Based on this knowledge, we examined the effects of the two isoforms in marble burying test. We assessed knockout transgenic mouse strains (Caskin1 KO, Caskin2 KO and Caskin dKO) alongside wild-type (C57Bl6J) and double heterozygous mice (dHz) as controls at 2, 4, and 6 months.</w:t>
      </w:r>
    </w:p>
    <w:p>
      <w:pPr>
        <w:widowControl w:val="on"/>
        <w:pBdr/>
        <w:spacing w:before="240" w:after="240" w:line="240" w:lineRule="auto"/>
        <w:ind w:left="0" w:right="0"/>
        <w:jc w:val="left"/>
      </w:pPr>
      <w:r>
        <w:rPr>
          <w:color w:val="000000"/>
          <w:sz w:val="24"/>
          <w:szCs w:val="24"/>
        </w:rPr>
        <w:t xml:space="preserve">In our experiments, we employed a marble burying assay and managed to show that the two isoforms of the Caskin protein have different behavioural effects. The results taken from the Caskin double heterozygote animals shows a dose dependent effect of these proteins as well. The knockdown of Caskin2 seems to not increase the burying behaviour of the animals when comparing them to the heterozygotes. Caskin double knockdown largely increases this type of behaviour. Caskin1 knockdown animals show a similar increase in their interest to the marbles as the dKO animals. We also performed immunohistochemistry to analyse the subcellular localization of GluA1-containing AMPA receptors in the medial prefrontal cortex (mPFC). Our immunohistochemistry experiments show a change in the GluA1 immunoreactivity in the mPFC. GluA1 subunits of AMPA receptor seem to accumulate in the basal dendrites of the knockout neurons in 2nd/3rd layer in prelimbic cortex.</w:t>
      </w:r>
    </w:p>
    <w:p>
      <w:pPr>
        <w:widowControl w:val="on"/>
        <w:pBdr/>
        <w:spacing w:before="240" w:after="240" w:line="240" w:lineRule="auto"/>
        <w:ind w:left="0" w:right="0"/>
        <w:jc w:val="left"/>
      </w:pPr>
      <w:r>
        <w:rPr>
          <w:color w:val="000000"/>
          <w:sz w:val="24"/>
          <w:szCs w:val="24"/>
        </w:rPr>
        <w:t xml:space="preserve">While the knockout of Caskin1 isoform seems to induce severe repetitive behaviours, deletion of Caskin2 isoform seems to have little - or indeed, opposite - effect, based on the decreased marble burying activity of the animals. Our preliminary results also indicate that upon the deletion of both Caskin isoforms, the intracellular localisation of AMPA receptor subunit GluA1 seems to change, indicating impaired delivery to the postsynaptic membrane. There is a need for additional experiments however to further confirm our findings, and we are looking to expand immunostaining for other genotypes such as Caskin double heterozygotes and Caskin1 and 2 KO animals.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223687">
    <w:multiLevelType w:val="hybridMultilevel"/>
    <w:lvl w:ilvl="0" w:tplc="915618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223687">
    <w:abstractNumId w:val="672236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64540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