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PROKICS HANNA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prokics.hanna@gmail.com</w:t>
            </w:r>
            <w:r w:rsidRPr="001067CD">
              <w:rPr>
                <w:i/>
              </w:rPr>
              <w:br/>
            </w:r>
            <w:r w:rsidR="00A96AEC">
              <w:t>Tanárképzés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Zsákai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habil. 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Kézilabda - az erős csontozat kulcsa?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DEXA;csontsűrűség;kézilabda;csonttömeg;kamaszok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 során bekapcsolódhattam a Magyar Kézilabda Szövetség szervezésében folyó kutatásba, amelyben pubertáskorú, versenyszerűen kézilabdázó sportolók testösszetételét, csontszerkezetét vizsgáljuk. A kutatás célja, hogy képet adjon arról, hogy ez a sport milyen hatással van a sportoló kamaszok csontjainak, izmainak fejlettségére. Mivel a kézilabda egy kontaktsport, különösen fontos a megfelelően erős csontozat a sikeres pályafutáshoz és a sportsérülések elkerülése végett.</w:t>
      </w:r>
      <w:r>
        <w:rPr>
          <w:color w:val="000000"/>
          <w:sz w:val="24"/>
          <w:szCs w:val="24"/>
        </w:rPr>
        <w:br/>
        <w:t xml:space="preserve">A 2024-ben vizsgált 210 fiatal válogatott kézilabdázó (14-20 évesek) testszerkezeti vizsgálatait DEXA (Lunar GE) műszerrel végeztük el a Magyar Kézilabda Szövetség Sporttudományi és Diagnosztikai Igazgatóságának Humánbiológiai Laboratóriumában. A tudományos diákköri munkám során a kézilabdázók csontszerkezetét jellemzem más sportágak sportolóinak csontszerkezeti mutatóinak tükrében (azonos korcsoportot vizsgálva).</w:t>
      </w:r>
      <w:r>
        <w:rPr>
          <w:color w:val="000000"/>
          <w:sz w:val="24"/>
          <w:szCs w:val="24"/>
        </w:rPr>
        <w:br/>
        <w:t xml:space="preserve">A szakirodalmi források és saját mérések alapján előzetesen megállapítható, hogy a kézilabda és a súlyemelés nagyobb csontsűrűséget alakít ki, mint az úszás vagy kerékpározás fiatal élsportolóknál. Ez utóbbi kettőnél a csontsűrűség nem sokban különbözik a sportot nem űző kontrollcsoportokétól. Levonható a következtetés, hogy azok a sportok vannak kifejezetten pozitív hatással a csontszerkezet fejlődésére, amelyekben a sportolók dinamikus mozgást végeznek (pl.: ugrások), és legalább a saját testsúlyukat mozgatják a gravitáció ellenében.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07575">
    <w:multiLevelType w:val="hybridMultilevel"/>
    <w:lvl w:ilvl="0" w:tplc="43964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07575">
    <w:abstractNumId w:val="795075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85146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