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SZÁRAZ-NAGY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sznanna2002@gmail.com</w:t>
            </w:r>
            <w:r w:rsidRPr="001067CD">
              <w:rPr>
                <w:i/>
              </w:rPr>
              <w:br/>
            </w:r>
            <w:r w:rsidR="00A96AEC">
              <w:t>Anglisztika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Lajtai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Szocioökonómiai háttér és motiváció a kéttannyelvű oktatásban - Esettanulmány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angol; kéttannyelvű; motiváció; nyelvtanulás; esettanulmány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Language learning has always been one of the central aims of education, although the</w:t>
      </w:r>
      <w:r>
        <w:rPr>
          <w:color w:val="000000"/>
          <w:sz w:val="24"/>
          <w:szCs w:val="24"/>
        </w:rPr>
        <w:br/>
        <w:t xml:space="preserve">way languages are taught is an ever-changing and developing process. In the twentieth century,</w:t>
      </w:r>
      <w:r>
        <w:rPr>
          <w:color w:val="000000"/>
          <w:sz w:val="24"/>
          <w:szCs w:val="24"/>
        </w:rPr>
        <w:br/>
        <w:t xml:space="preserve">to meet the expectations of the globalised world, bilingual education programs emerged, as well</w:t>
      </w:r>
      <w:r>
        <w:rPr>
          <w:color w:val="000000"/>
          <w:sz w:val="24"/>
          <w:szCs w:val="24"/>
        </w:rPr>
        <w:br/>
        <w:t xml:space="preserve">as approaches for implementing them, such as CLIL (Content and Language-integrated</w:t>
      </w:r>
      <w:r>
        <w:rPr>
          <w:color w:val="000000"/>
          <w:sz w:val="24"/>
          <w:szCs w:val="24"/>
        </w:rPr>
        <w:br/>
        <w:t xml:space="preserve">Learning), in which new disciplinary content is taught in a foreign language.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Since the 1980s, the number of bilingual schools in Hungary has been rapidly</w:t>
      </w:r>
      <w:r>
        <w:rPr>
          <w:color w:val="000000"/>
          <w:sz w:val="24"/>
          <w:szCs w:val="24"/>
        </w:rPr>
        <w:br/>
        <w:t xml:space="preserve">increasing. These schools can be found not only in the capital city of Budapest but also in</w:t>
      </w:r>
      <w:r>
        <w:rPr>
          <w:color w:val="000000"/>
          <w:sz w:val="24"/>
          <w:szCs w:val="24"/>
        </w:rPr>
        <w:br/>
        <w:t xml:space="preserve">various county seat and non-county seat towns throughout the country. Despite being a</w:t>
      </w:r>
      <w:r>
        <w:rPr>
          <w:color w:val="000000"/>
          <w:sz w:val="24"/>
          <w:szCs w:val="24"/>
        </w:rPr>
        <w:br/>
        <w:t xml:space="preserve">relatively small nation, Hungary shows significant regional differences, which are also reflected</w:t>
      </w:r>
      <w:r>
        <w:rPr>
          <w:color w:val="000000"/>
          <w:sz w:val="24"/>
          <w:szCs w:val="24"/>
        </w:rPr>
        <w:br/>
        <w:t xml:space="preserve">in language learning motivation.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present study aims to identify the socio-economical and motivational backgrounds</w:t>
      </w:r>
      <w:r>
        <w:rPr>
          <w:color w:val="000000"/>
          <w:sz w:val="24"/>
          <w:szCs w:val="24"/>
        </w:rPr>
        <w:br/>
        <w:t xml:space="preserve">of bilingual education as well as to understand the influence of regional differences in Hungary.</w:t>
      </w:r>
      <w:r>
        <w:rPr>
          <w:color w:val="000000"/>
          <w:sz w:val="24"/>
          <w:szCs w:val="24"/>
        </w:rPr>
        <w:br/>
        <w:t xml:space="preserve">The research is a case study, with a bilingual secondary school situated in a non-county seat</w:t>
      </w:r>
      <w:r>
        <w:rPr>
          <w:color w:val="000000"/>
          <w:sz w:val="24"/>
          <w:szCs w:val="24"/>
        </w:rPr>
        <w:br/>
        <w:t xml:space="preserve">town in focus, and it is mixed-methods in its nature.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study’s main findings include that the Family Background Index, an influential</w:t>
      </w:r>
      <w:r>
        <w:rPr>
          <w:color w:val="000000"/>
          <w:sz w:val="24"/>
          <w:szCs w:val="24"/>
        </w:rPr>
        <w:br/>
        <w:t xml:space="preserve">socio-economic variable, is not significantly different for secondary bilingual education than</w:t>
      </w:r>
      <w:r>
        <w:rPr>
          <w:color w:val="000000"/>
          <w:sz w:val="24"/>
          <w:szCs w:val="24"/>
        </w:rPr>
        <w:br/>
        <w:t xml:space="preserve">for traditional grammar schools, as well as that, for both the students and the parents, English’s</w:t>
      </w:r>
      <w:r>
        <w:rPr>
          <w:color w:val="000000"/>
          <w:sz w:val="24"/>
          <w:szCs w:val="24"/>
        </w:rPr>
        <w:br/>
        <w:t xml:space="preserve">role in today’s globalised world and the future possibilities it opens are the main motivational</w:t>
      </w:r>
      <w:r>
        <w:rPr>
          <w:color w:val="000000"/>
          <w:sz w:val="24"/>
          <w:szCs w:val="24"/>
        </w:rPr>
        <w:br/>
        <w:t xml:space="preserve">factors behind choosing bilingual education.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398815">
    <w:multiLevelType w:val="hybridMultilevel"/>
    <w:lvl w:ilvl="0" w:tplc="596173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398815">
    <w:abstractNumId w:val="403988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59651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