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DOMJÁN KATALIN</w:t>
            </w:r>
          </w:p>
          <w:p w:rsidR="00C275A3" w:rsidRDefault="00CA6B74" w:rsidP="00C275A3">
            <w:pPr>
              <w:pStyle w:val="Hallgatokepzes"/>
            </w:pPr>
            <w:r w:rsidRPr="001067CD">
              <w:rPr>
                <w:i/>
              </w:rPr>
              <w:t>katidomjan@gmail.com</w:t>
            </w:r>
            <w:r w:rsidRPr="001067CD">
              <w:rPr>
                <w:i/>
              </w:rPr>
              <w:br/>
            </w:r>
            <w:r w:rsidR="00A96AEC">
              <w:t>Anglisztika mesterszak</w:t>
            </w:r>
            <w:r w:rsidR="00A96AEC">
              <w:br/>
            </w:r>
            <w:r w:rsidR="00E77B23">
              <w:t>MA, 1.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Csikai Zsuzsanna</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Angela Carter in a Subversive Dialogue with the Brothers Grimm: The Powerful and Ambiguous Role of mother Figures in Fairy Tales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adaptations; archetypal women; post-structuralism; Gothic</w:t>
      </w:r>
      <w:r>
        <w:t xml:space="preserve"/>
      </w:r>
    </w:p>
    <w:p>
      <w:pPr>
        <w:widowControl w:val="on"/>
        <w:pBdr/>
        <w:spacing w:before="240" w:after="240" w:line="240" w:lineRule="auto"/>
        <w:ind w:left="0" w:right="0"/>
        <w:jc w:val="left"/>
      </w:pPr>
      <w:r>
        <w:rPr>
          <w:color w:val="000000"/>
          <w:sz w:val="24"/>
          <w:szCs w:val="24"/>
        </w:rPr>
        <w:t xml:space="preserve">This paper examines the powerful and ambiguous roles of mother figures in fairy tales, with a particular focus on two tales from Angela Carter’s subversive collection, The Bloody Chamber and Other Stories. Chapters one and two contextualise the evolution of the fairy tale genre, the emergence of subversive voices, and examine Carter’s strategies in rewriting canonical tales and her approach to variations of the archetypal mother figure. Chapter three focuses on the two traditional mother figures portrayed in the fairy tales of the Brothers Grimm, and on the ways in which their absent, good mothers and wicked stepmothers contribute to the promotion of the patriarchal ideology. The final chapter analyses how Carter challenges the Grimms’ agenda through her rewritten mother figures in the “The Snow Child” and “The Bloody Chamber”. This study aims to offer a contribution to the question of mother figures’ role in shaping the heroine’s character and journey.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05772">
    <w:multiLevelType w:val="hybridMultilevel"/>
    <w:lvl w:ilvl="0" w:tplc="727431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05772">
    <w:abstractNumId w:val="239057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5365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