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BUNFORD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bunfordveronika@gmail.com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Pozsonyi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Sándor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latintanár,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„Mert annyi halál les éjjel, ahány ablak virraszt feltárva utadban.” A D. 9,3 fordítása és rövid kommentárja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actio de deiectis vel effusis; actio de posito vel suspenso; kvázi deliktuális felelősség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középpontjában a Digesta 9.3 titulusa (De his, qui effuderint vel deiecerint) áll (amelyet a szerző tudományos diákkör keretében fordított le) benne pedig az edictum de deiectis et effusis és az edictum de posito et suspenso elnevezésű keresetek. A szerzőnek célja ezzel az volt, hogy a D. 9.3 titulus eddig magyarul hozzá nem férhető fragmentumairól egy modern fordítást készítsen. Ezen fordítási gyakorlatból fejlődött ki (mint tudományos eredmény) a letisztázott, (kortárs francia fordítással is egybevetett) magyar nyelvű szöveg, valamint a kísérő tanulmánya.</w:t>
      </w:r>
      <w:r>
        <w:rPr>
          <w:color w:val="000000"/>
          <w:sz w:val="24"/>
          <w:szCs w:val="24"/>
        </w:rPr>
        <w:br/>
        <w:t xml:space="preserve">A szerző dolgozatában azonban csak a lakásból kidobott, kiöntött dolgokkal okozott kárra vonatkozó szabályokat kívánja ismertetni. Az ókori római urbanizáció „ellentmondása” alapozza meg edictum de deiectis et effusis kiadását azzal, hogy a Kr. e. III. századtól egyre magasabb házakat építettek, azonban a közművesítettség, valamint a hulladék kezelésének kultúrája (mai szemmel nézve) igen fejletlen volt. Különféle tárgyak vagy folyadékok ablakon való kiöntése szokásos, mondhatni természetes eseménynek számított. A praetor ezen sérelmes helyzetet próbálta meg „orvosolni” a jog eszközével: az edictum de deiectis et effusis kiadásával, amely mintegy védelembe vette a járókelőket.</w:t>
      </w:r>
      <w:r>
        <w:rPr>
          <w:color w:val="000000"/>
          <w:sz w:val="24"/>
          <w:szCs w:val="24"/>
        </w:rPr>
        <w:br/>
        <w:t xml:space="preserve">Ha részletesebben áttekintjük edictum rendelkezéseit, illetve az alapján megadható actio de deiectis vel effusist, akkor három egymástól jól elkülöníthető jogi tényállást különböztethetünk meg. A három tényállást összeköti az egyező elkövetési magatartás, elhatárolásuk alapja pedig az okozott eredmény: vagyoni károk, szabad ember sérülése vagy szabad ember halála.</w:t>
      </w:r>
      <w:r>
        <w:rPr>
          <w:color w:val="000000"/>
          <w:sz w:val="24"/>
          <w:szCs w:val="24"/>
        </w:rPr>
        <w:br/>
        <w:t xml:space="preserve">Az edictumok relevanciáját tekintve megállapíthatjuk, hogy a szabályok római életviszonyok között alakultak ki, de egészen mai napig tovább élnek. Alapjaiban és részleteiben továbbra is kötőerővel bírnak a modern jogban is. Így nyomuk van a két világháború közötti magyar anyagi jogban, az 1928. évi Magánjogi Törvényjavaslatban, az 1959-es Polgári Törvénykönyvön keresztül pedig egészen a hatályos, 2013. évi V. törvényig megtalálhatóak ezen tényállások az ún. épületkárok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77863">
    <w:multiLevelType w:val="hybridMultilevel"/>
    <w:lvl w:ilvl="0" w:tplc="80845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77863">
    <w:abstractNumId w:val="22477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01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