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FORGÓ ZSANETT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zsanettforgo050@gmail.com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Pétervári Máté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özvegyi jog korlátozása és megszüntetése a Kalocsai Királyi Törvényszék joggyakorlatában az 1928. évi Magánjogi Törvényjavaslatot megelőző időszakban (1915-1929)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joggyakorlat; özvegyi jog; örökösödési jog; 1928. évi Magánjogi Törvényjavaslat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központi témája az özvegyi jog kapcsán felmerült vitás kérdések rendezése a bírósági gyakorlatban az 1928. évi Magánjogi Törvényjavaslatot megelőző másfél évtizedben. Dolgozatomban számos, az özvegyi haszonélvezeti jog megállapítása, korlátozása, illetve megszüntetése iránt folyamatba tett peres ügy ismertetésén keresztül mutatom be a Kalocsai Királyi Törvényszék és a Budapesti Királyi Ítélőtábla joggyakorlatát, kiemelve a Magyar Királyi Kúria szerepét a jogegységesítésben. A Törvényszék peres iratait az 1915-1928 közötti időszakban vizsgáltam (MNL BKML VII. 2. b. 80-472. dobozok), és közel negyven ügyet dolgoztam fel az özvegyi jog kapcsán. Pályamunkámban egy konkrét bíróság joggyakorlatát vizsgálva képet kaphatunk az özvegyi jog kapcsán felmerülő kérdésekről és az alkalmazott jogról a gyakorlati élet alapján.</w:t>
      </w:r>
      <w:r>
        <w:rPr>
          <w:color w:val="000000"/>
          <w:sz w:val="24"/>
          <w:szCs w:val="24"/>
        </w:rPr>
        <w:br/>
        <w:t xml:space="preserve">Az özvegyi jog célja hagyományosan az volt, hogy az özvegy nő a férje életében megszokott életszínvonalat az ő halálát követően is fenntarthassa, ennek érdekében pedig férje hagyatékának haszonélvezetére volt jogosult, illetve tartásra, ellátásra tarthatott igényt. Ahogy a korszakban számos más jogintézményt, az özvegyi jogot is a szokásjog alapján rendezték a bíróságok. Példának okáért az özvegy érdemtelenségének intézményét a korszakban teljes mértékben a bírói gyakorlat alakította ki: a bíróságok határozták meg az özvegyre irányadó érdemtelenségi okokat, amelyek között a hűtlenség, a férj elhagyása, ágyassági viszony folytatása, illetve az özvegy erkölcstelen életmódja szerepelt. A levéltári anyagok vizsgálatából emellett egyértelműen kidomborodott, hogy az özvegyi jog rendezése csak a legvégsőbb esetben történt per útján.</w:t>
      </w:r>
      <w:r>
        <w:rPr>
          <w:color w:val="000000"/>
          <w:sz w:val="24"/>
          <w:szCs w:val="24"/>
        </w:rPr>
        <w:br/>
        <w:t xml:space="preserve">A kutatómunkám során a magyar magánjogban mérföldkőnek számító 1928. évi Magánjogi Törvényjavaslat előtti időszak joggyakorlatát térképeztem fel. Az MTJ kodifikációs szintre emelte az özvegy érdemtelenségének intézményét, emellett rögzítette azt a – szintén a bírói gyakorlat által kialakított – jogot, miszerint a leszármazó örökösök özvegye is kérhette az özvegyi jog megszorítását önmaga és leszármazója érdekében. Megállapítottam, hogy a Törvényjavaslat elsősorban a bírósági gyakorlat által kialakított szokásjogot kodifikálta, ugyanakkor olyan előremutató részletszabályokat is tartalmazott, amelyekre a korszak szokásjoga nem terjedt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116816">
    <w:multiLevelType w:val="hybridMultilevel"/>
    <w:lvl w:ilvl="0" w:tplc="55038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116816">
    <w:abstractNumId w:val="151168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33781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