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rebeka.horvath1107@gmail.com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Varga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Balogh Elemér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halált okozó súlyos testi sértés és a szándékos emberölés elhatárolása a Szegedi Királyi Ítélőtábla gyakorlatában (1891-1900)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büntetőjogtörténet, testi sértés, emberölés, elhatárolás, Csemegi-kódex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fókuszában a Csemegi-kódexben szabályozott halált okozó súlyos testi sértés és szándékos emberölés bűncselekmények elhatárolási kérdései állnak a Szegedi Királyi Ítélőtábla joggyakorlatában az 1891 és 1900 közötti időszakban.</w:t>
      </w:r>
      <w:r>
        <w:rPr>
          <w:color w:val="000000"/>
          <w:sz w:val="24"/>
          <w:szCs w:val="24"/>
        </w:rPr>
        <w:br/>
        <w:t xml:space="preserve">A kutatásom módszertanát tekintve a dolgozat minden fejezetét három részre osztottam. Először az 1878. évi V. törvénycikk hatályba lépése (1880) előtti szakirodalmat elemzem, majd az Ítélőtábla és a Magyar Királyi Curia ítélkezési gyakorlatát 1891 és 1900 között és a korabeli szakirodalmat. Ezt követően többször hivatkoztam a vizsgált korszakot követően megjelent szakirodalmi forrásokra, mert a Csemegi-kódex megjelenése után évtizedekkel is hivatkoznak a kódex dogmatikai tételeire.</w:t>
      </w:r>
      <w:r>
        <w:rPr>
          <w:color w:val="000000"/>
          <w:sz w:val="24"/>
          <w:szCs w:val="24"/>
        </w:rPr>
        <w:br/>
        <w:t xml:space="preserve">A kutatásom primer forrásai a Szegedi Királyi Ítélőtábla büntetőügyei, a Magyar Királyi Curia döntvényei és az 1878. évi V. törvénycikk indokolása. A válogatott szekunder források a korszak nagy büntetőjogászainak munkái úgy, mint Pauler Tivadar, Lőw Tóbiás, Edvi Illés Károly, Finkey Ferenc és Angyal Pál.</w:t>
      </w:r>
      <w:r>
        <w:rPr>
          <w:color w:val="000000"/>
          <w:sz w:val="24"/>
          <w:szCs w:val="24"/>
        </w:rPr>
        <w:br/>
        <w:t xml:space="preserve">Dolgozatomban a vizsgált évtized büntetőügyeiből a dolgozat témáját képező két bűncselekmény tárgyában azt a 47 büntetőügyet dolgoztam fel, amelyekben kifejezésre jut az ölési és a testi sértési szándék elhatárolásának kérdése.</w:t>
      </w:r>
      <w:r>
        <w:rPr>
          <w:color w:val="000000"/>
          <w:sz w:val="24"/>
          <w:szCs w:val="24"/>
        </w:rPr>
        <w:br/>
        <w:t xml:space="preserve">A dolgozatban az eddig nem vizsgált szegedi joggyakorlatot kívánom bemutatni a tárgyi és alanyi tényezők feltárása mellett.</w:t>
      </w:r>
      <w:r>
        <w:rPr>
          <w:color w:val="000000"/>
          <w:sz w:val="24"/>
          <w:szCs w:val="24"/>
        </w:rPr>
        <w:br/>
        <w:t xml:space="preserve">Vizsgáltam a bűncselekmény tárgyi oldalát tekintve a bűncselekmény elkövetéséhez használt eszközt, majd az elkövető által a bántalmazáskor kifejtett erőt, az ütés, a szúrás, a lövés irányzottságát, a többszöri támadást. Ezt követően számításba vettem a sérülés helyét, jellegét, valamint az elkövető kijelentéseit és a cselekmény kifejtése utáni magatartását.</w:t>
      </w:r>
      <w:r>
        <w:rPr>
          <w:color w:val="000000"/>
          <w:sz w:val="24"/>
          <w:szCs w:val="24"/>
        </w:rPr>
        <w:br/>
        <w:t xml:space="preserve">Az elkövető tudatában megjelenő alanyi oldalon tanulmányoztam az elkövető személyes tulajdonságait és az elkövetőben a cselekményt kiváltó indítóokot. Feltártam a cselekmény elkövetéséhez vezető eseményeket, amely szorosan összefügg az elkövető és a sértett közötti kapcsolattal.</w:t>
      </w:r>
      <w:r>
        <w:rPr>
          <w:color w:val="000000"/>
          <w:sz w:val="24"/>
          <w:szCs w:val="24"/>
        </w:rPr>
        <w:br/>
        <w:t xml:space="preserve">A vizsgált időszakban kimunkált elhatárolási szempontok, a szegedi joggyakorlatból hozott jogesetek hozzájárulnak a hatályos jogfejlődés történeti alapjainak megértéséhez, különös tekintettel a 3/2013. Büntető Jogegységi Határozatra, ami a testi sértési és az emberölési szándék elhatárolásáról szóló elvi jelentőségű döntés.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67678">
    <w:multiLevelType w:val="hybridMultilevel"/>
    <w:lvl w:ilvl="0" w:tplc="18775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67678">
    <w:abstractNumId w:val="543676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8218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