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kovacsdani@gmail.hu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MIKLÓS CSENGE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csenge.miklos04@gmail.com</w:t>
            </w:r>
            <w:bookmarkStart w:id="1" w:name="_GoBack"/>
            <w:bookmarkEnd w:id="1"/>
            <w:r w:rsidRPr="001067CD">
              <w:br/>
            </w:r>
            <w:r w:rsidR="00C275A3">
              <w:t>jogász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Pozsonyi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Kata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Condictio causa (dotis) data causa (dotis) non secuta. A hozományi vagyon visszakövetelése az elmaradt házasságkötés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jogalap nélküli gazdagodás; condictio causa data causa non secuta; hozomány visszakövetelése; elmaradt házasságkötés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jogban a jogalap nélkül megbomlott vagyoni egyensúlyt eredményező jogi helyzetek reparálására különféle condictiók szolgáltak. Ennek megfelelően, a jogalap nélküli gazdagodás változatos tényállásait több, egymástól elkülönült típusba csoportosíthatóak az alapján, hogy a juttatás milyen okból nem tudta rendeltetését betölteni.</w:t>
      </w:r>
      <w:r>
        <w:rPr>
          <w:color w:val="000000"/>
          <w:sz w:val="24"/>
          <w:szCs w:val="24"/>
        </w:rPr>
        <w:br/>
        <w:t xml:space="preserve">A kutatás középpontjában az ún. condictio causa data causa non secuta elnevezésű kereset áll, amely a célját vesztett szolgáltatás visszakövetelésére szolgált. A fenti megnevezés Jusztiniánusz császár korában váltotta fel a – szakirodalomban rendre használatos – condictio ob rem dati / causam datorum klasszikus kori elnevezéseket.</w:t>
      </w:r>
      <w:r>
        <w:rPr>
          <w:color w:val="000000"/>
          <w:sz w:val="24"/>
          <w:szCs w:val="24"/>
        </w:rPr>
        <w:br/>
        <w:t xml:space="preserve">E dolgozat elsődleges forrásaként a D. 12,4 címéből származó, a condictio casua data causa non secuta alkalmazhatóságára vonatkozó, jogtudósi szövegek kerültek feldolgozásra. A szerzők azonban kifejezetten azon tipikus jogalap nélküli gazdagodási tényállásra korlátozták vizsgálódásaikat, hogy milyen szabályok vonatkoznak arra az esetre, ha a házasságkötést megelőzően már hozományt adtak, vagy hozományt rendeltek, és a házasság megkötésére nem került sor (összesen 5 fragmentum).</w:t>
      </w:r>
      <w:r>
        <w:rPr>
          <w:color w:val="000000"/>
          <w:sz w:val="24"/>
          <w:szCs w:val="24"/>
        </w:rPr>
        <w:br/>
        <w:t xml:space="preserve">A szerzők a dolgozat végén megkísérelték az általuk elemzett jogesetek viszonylatában az egyes jogászi döntések mögött meghúzódó elvi magok (ratio decidendi) megfogalmazását.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39668">
    <w:multiLevelType w:val="hybridMultilevel"/>
    <w:lvl w:ilvl="0" w:tplc="78411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39668">
    <w:abstractNumId w:val="97539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561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