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FERENC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nagyferenc150011@icloud.com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Tamási Anna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Balogn Elemér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exorcizmus az egyetemes kánonjogtörténetben, hatályos jogi reflexiókkal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latin;vatikán;exorcizmus;kánonjog;ördögűzés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ördögűzés jogszabályi anomáliáinak feltárása a római katolikus szertartáskönyvön nyugvó alapok szerint. A jogszabályi hézagok, hiányosságok, hibák gyakorlatilag az évszázadokon keresztül pontatlan és igazságtalan ítélkezési gyakorlatra vezettek mind az egyházban, mind pedig közvetett módon a világi jogalkalmazásban.</w:t>
      </w:r>
      <w:r>
        <w:rPr>
          <w:color w:val="000000"/>
          <w:sz w:val="24"/>
          <w:szCs w:val="24"/>
        </w:rPr>
        <w:br/>
        <w:t xml:space="preserve">Témám kutatási motívuma egy teljesen, még a jogi szakirodalomban is ,,tabu" téma jogtörténeti és világi jogi relevanciájának bemutatása, továbbá a jövőre nézve az igazságtalan joggyakorlat megszüntetése. Ezen felül szeretném a kánonjogi jogalkotót motiválni a már több száz éves gyökerekkel bíró normaszövegek, a jelen kor társadalmi viszonyainak történő megfeleltetésére sarkallni. Legmeghatározóbb célom egy elérhető, egységes és a témához illeszthető legmaximálisabb objektivitás felállítása az ördögűzéssel kapcsolatban, annak anyagi és eljárásjogi oldalán egyaránt.</w:t>
      </w:r>
      <w:r>
        <w:rPr>
          <w:color w:val="000000"/>
          <w:sz w:val="24"/>
          <w:szCs w:val="24"/>
        </w:rPr>
        <w:br/>
        <w:t xml:space="preserve">Kutatásom során lehetőségem volt betekinteni és kutatni az Apostoli Vatikáni Levéltárban, Rómában. A rengeteg latin forrás miatt a fordítói tevékenységemre rendkívül büszke vagyok. Ezen latin - részben norma, részben primer- szövegeket direkt módon latinról magyarra fordítottam, a teljesség kedvéért - ahol elérhető volt - más idegen nyelvű fordítással összehasonlítottam.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83831">
    <w:multiLevelType w:val="hybridMultilevel"/>
    <w:lvl w:ilvl="0" w:tplc="226590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83831">
    <w:abstractNumId w:val="383838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5961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