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ZSÓFI</w:t>
            </w:r>
          </w:p>
          <w:p w:rsidR="00C275A3" w:rsidRDefault="00CA6B74" w:rsidP="00C275A3">
            <w:pPr>
              <w:pStyle w:val="Hallgatokepzes"/>
            </w:pPr>
            <w:r w:rsidRPr="001067CD">
              <w:rPr>
                <w:i/>
              </w:rPr>
              <w:t>gabor.zsofi011@gmail.com</w:t>
            </w:r>
            <w:r w:rsidRPr="001067CD">
              <w:rPr>
                <w:i/>
              </w:rPr>
              <w:br/>
            </w:r>
            <w:r w:rsidR="00A96AEC">
              <w:t>jogász </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Hegyes Péter István</w:t>
            </w:r>
          </w:p>
          <w:p w:rsidR="00DB4822" w:rsidRDefault="00DB4822" w:rsidP="00BA6BAF">
            <w:pPr>
              <w:pStyle w:val="Konzulensektitulus"/>
            </w:pPr>
            <w:r w:rsidRPr="00DB4822">
              <w:t>adjunktus,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ökológiai gazdálkodás egyes agrár- és élelmiszerjogi aspektusai az új európai uniós rendelet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ökológiai gazdálkodás; agrárjog; élelmiszerjog</w:t>
      </w:r>
      <w:r>
        <w:t xml:space="preserve"/>
      </w:r>
    </w:p>
    <w:p>
      <w:pPr>
        <w:widowControl w:val="on"/>
        <w:pBdr/>
        <w:spacing w:before="240" w:after="240" w:line="240" w:lineRule="auto"/>
        <w:ind w:left="0" w:right="0"/>
        <w:jc w:val="left"/>
      </w:pPr>
      <w:r>
        <w:rPr>
          <w:color w:val="000000"/>
          <w:sz w:val="24"/>
          <w:szCs w:val="24"/>
        </w:rPr>
        <w:t xml:space="preserve">Az OTDK dolgozatom témája az ökológiai gazdálkodás egyes agrár- és élelmiszerjogi aspektusainak vizsgálata az új európai uniós rendelet tükrében.</w:t>
      </w:r>
      <w:r>
        <w:rPr>
          <w:color w:val="000000"/>
          <w:sz w:val="24"/>
          <w:szCs w:val="24"/>
        </w:rPr>
        <w:br/>
        <w:t xml:space="preserve">A dolgozatom felépítése a címéhez igazodva egy kifejezetten dogmatikus jellegű elemzéssel indul, ahol vizsgáltam az agrárjog és az élelmiszerjog egymáshoz való viszonyát. Ezt követően röviden ismertettem az ökológiai gazdálkodás történetét, jelentőségét és fogalmát, amelyet elhatároltam más környezettudatos alternatív módszerektől. A dolgozatomban röviden kitértem a vonatkozó jogszabályi környezetre. Munkámban látható, hogy az ökológiai termelésnek nagy szerepe van a fenntarthatóságban és jelentős összefüggésben áll az európai zöld megállapodással, illetve más uniós stratégiákkal. Dolgozatomban összevetettem egymással a korábbi 834/2007/EK rendeletet és a jelenleg hatályos (EU) 2018/848 rendeletet. Részletesen bemutattam az új szabályozás által bevezetett változásokat. Dolgozatom utolsó részében az Európai Unió Bíróságának ítélkezési gyakorlata alapján felmerülő értelmezési kérdéseket elemeztem. Részletesen vizsgáltam egy releváns jogesetet, amely az élelmiszer-előállítás és az annak során felhasználható összetevőkről szól, amelyből lényeges következtetéseket vontam le. Ezen felül további jogeseteket elemeztem, amelyek az elsődleges termelés, a forgalmazás és a címkézés logikai láncát követve tárják fel a témához kapcsolódó jogi kérdéseket.</w:t>
      </w:r>
      <w:r>
        <w:rPr>
          <w:color w:val="000000"/>
          <w:sz w:val="24"/>
          <w:szCs w:val="24"/>
        </w:rPr>
        <w:br/>
        <w:t xml:space="preserve">Kutatásommal kapcsolatban az alábbi konklúziókra jutottam. Az összehasonlító elemzésen és a jogeseteken keresztül bemutattam és megállapítottam, hogy az ökológiai gazdálkodás jogi szabályozása rendkívül összetett, illetve, hogy a hatályos rendelet sok helyen orvosolt joghézagokat és értelmezési nehézségeket. Megállapítottam, hogy ez a komplexitás a gazdák számára is eltántorítható lehet és javaslatot tettem az olyan kevésbé szabályozott környezettudatos gazdálkodási irányzatok támogatására, mint a permakultúra vagy a vízmegkötő gazdálkodás.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43279">
    <w:multiLevelType w:val="hybridMultilevel"/>
    <w:lvl w:ilvl="0" w:tplc="60158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43279">
    <w:abstractNumId w:val="18543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090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