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kovacsk4328@gmail.com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Siket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központi kormányzati igazgatás reformfolyamatai és tisztségviselőinek jogállása (1990-2024)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Kormány; kancellári rendszer; miniszterelnök; miniszter; államtitkár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hiánypótló jelleggel tekinti át a központi kormányzati igazgatás szervezetét, valamint tisztségviselőinek jogállását a rendszerváltástól napjainkig. Az egyes reformfolyamatok mentén, valamint a német kancellári típusú rendszert alapul véve különíti el a reformfolyamatok és kormányzati ciklusok mentén az egyes időszakokat. A szakirodalom, valamint a jogszabályok alapján dolgozat az alábbi időszakokat különíti el: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szubkancellári rendszer (1990-1998)</w:t>
      </w:r>
      <w:r>
        <w:rPr>
          <w:color w:val="000000"/>
          <w:sz w:val="24"/>
          <w:szCs w:val="24"/>
        </w:rPr>
        <w:br/>
        <w:t xml:space="preserve">2. valódi kancellári rendszer (1998-2010)</w:t>
      </w:r>
      <w:r>
        <w:rPr>
          <w:color w:val="000000"/>
          <w:sz w:val="24"/>
          <w:szCs w:val="24"/>
        </w:rPr>
        <w:br/>
        <w:t xml:space="preserve">3. szuperkancellári rendszer (2010- 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szubkancellári rendszer (1990-1998) a rendszerváltást követően kiépített „szuperjogállami biztosítékok”-nak köszönhetően jött létre. A kabinetelv erős volta miatt a kormányfő de iure erős, de facto gyenge pozíciót foglalt el, így a törvényhozással szemben nem bírt dominanciával. Ebben a részben bemutatásra kerül a miniszterelnök, a miniszterek és az államtitkárok jogállásának kialakulása, valamint az állami vezetők jogállására vonatkozó jogszabályokkal kapcsolatos alkotmányos dilemmák az Alkotmánybíróság 49/1996. (X. 25.) AB határozata mentén.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valódi kancellári rendszerben (1998-2010) kiemelt jelentőséggel bírt a kormányfő, valamint a kormányon belül a Miniszterelnöki Hivatal jogállásának erősödése, szerepének növekedése. A kormány – élén a miniszterelnökkel – domináns pozícióba kerül a törvényhozással szemben, ezzel a kancellári rendszer jellemzőit leginkább mutató időszak különíthető el. A dolgozat különös figyelmet szentel az első szervezeti törvénynek, a központi államigazgatási szervekről, valamint a Kormány tagjai és az államtitkárok jogállásáról szóló 2006. évi LVII. törvénynek.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szuperkancellári rendszer (2010- ) elkülönítésének legfőbb indoka a miniszterelnök jogállásának ismételt erősödése, valamint a kormányzati koordináció centralizációja mind a közigazgatási, mind a politikai koordinációban. Ez a folyamat a miniszterelnök közvetlen irányítása alá kerülő kormányzati központ létrehozásában, valamint az önálló kormányzati igazgatásról szóló 2018. évi CXXV. törvény megalkotásában csúcsosodott ki. Ebben az időszakban a miniszterelnök a korábbi rendszerhez képest is kiemelkedik, ezzel a valódi kancellári rendszertől eltérő időszak meghatározása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központi kormányzati igazgatás szervezetének és tisztségviselői jogállásának részletes feldolgozása mellett – interdiszciplináris jelleggel – a politikatudomány eredményei is feldolgozásra kerültek.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73937">
    <w:multiLevelType w:val="hybridMultilevel"/>
    <w:lvl w:ilvl="0" w:tplc="31465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73937">
    <w:abstractNumId w:val="21873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312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