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TOLDI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adamtoldi10@gmail.com</w:t>
            </w:r>
            <w:r w:rsidRPr="001067CD">
              <w:rPr>
                <w:i/>
              </w:rPr>
              <w:br/>
            </w:r>
            <w:r w:rsidR="00A96AEC">
              <w:t>jogászképzés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rémhírterjesztés mint a szólásszabadság egyik büntetőjogi korlátja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rémhírterjesztés; szólásszabadság; büntetőjog; köznyugalom; orosz-ukrán háború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fókuszában az a kérdés állt, hogy a jelenlegi büntetőjogi szabályozás keretei között megvalósulhat-e a különleges jogrend ideje alatt elkövethető új Btk. 337. § (2) bekezdése szerinti rémhírterjesztés deliktuma, tekintettel arra, hogy jelenleg az orosz-ukrán háborúval összefüggésben van veszélyhelyzeti állapot Magyarországon. E kérdés megválaszolása érdekében elsősorban a történeti, illetve a jogösszehasonlítás kutatási módszertanát alkalmaztam.</w:t>
      </w:r>
      <w:r>
        <w:rPr>
          <w:color w:val="000000"/>
          <w:sz w:val="24"/>
          <w:szCs w:val="24"/>
        </w:rPr>
        <w:br/>
        <w:t xml:space="preserve">A fogalmi keretrendszer ismertetése során amellett érveltem, hogy mely élethelyzetek esetén indokolt az egész országot közveszély színhelyévé minősíteni (pl. egy szomszédos országban történő atombaleset esetében). A nagy nyilvánosság alatt rámutattam arra, hogy milyen komoly problémák merülhetnek fel abban az esetben, amennyiben az elkövető többek között IP-címet elrejtő VPN-t használ. A szólás- és véleménynyilvánítás szabadságának jogtörténeti fejlődésének részletes bemutatását követően a jogirodalom és -gyakorlat mentén összevetettem a köznyugalom mint jogi tárgy fogalmi elemeit.</w:t>
      </w:r>
      <w:r>
        <w:rPr>
          <w:color w:val="000000"/>
          <w:sz w:val="24"/>
          <w:szCs w:val="24"/>
        </w:rPr>
        <w:br/>
        <w:t xml:space="preserve">A rémhírterjesztés büntetőjogi szabályozásának történeti áttekintése során bemutattam e deliktum szabályozásának fejlődését a Csemegi-kódextől (1878) kezdődően egészen a 2020-as COVID-19 világjárványig. A történelmi korszakokat felölelő áttekintés során kiemelt figyelmet fordítottam arra, hogy a korabeli büntetőjogi szabályozás mennyire volt képes a köznyugalom mint jogi tárgy védelmére, valamint hogy ennek érdekében arányosan került-e korlátozásra a szólásszabadság.</w:t>
      </w:r>
      <w:r>
        <w:rPr>
          <w:color w:val="000000"/>
          <w:sz w:val="24"/>
          <w:szCs w:val="24"/>
        </w:rPr>
        <w:br/>
        <w:t xml:space="preserve">A Btk. 337. § (2) bekezdése szerinti rémhírterjesztés alkalmazhatóságának vizsgálatát követően bemutattam azt a csekély joggyakorlatot, ami e deliktummal összefüggésben megjelent Magyarországon. Az elbíráló bíróságokról és a jogerős büntetési tételekről egy külön összegző táblázatot készítettem.</w:t>
      </w:r>
      <w:r>
        <w:rPr>
          <w:color w:val="000000"/>
          <w:sz w:val="24"/>
          <w:szCs w:val="24"/>
        </w:rPr>
        <w:br/>
        <w:t xml:space="preserve">Summa Summarum, a kutatásom eredményeként megállapítottam, hogy a dolgozat elkészülésének időpontjában, azaz 2024. 12. 10-én a törvényi tényállási elemekből kiindulva mivel hazánk jelenleg nem fejt ki aktív védekezői tevékenységet az orosz-ukrán háborúval összefüggésben, ezért az ezzel kapcsolatos rémhírek nem valósíthatják meg a rémhírterjesztés deliktumát, mert ellenkező esetben az a szólásszabadság aránytalan korlátozásával járna.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42938">
    <w:multiLevelType w:val="hybridMultilevel"/>
    <w:lvl w:ilvl="0" w:tplc="83394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42938">
    <w:abstractNumId w:val="474429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3800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