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 ESZTER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varjaseszter@gmail.com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Jámbor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 önrendelkezési jogának érvényesülése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az emberi méltósághoz való jog; az alapvető gyermeki jogok; GDPR rendelet; a digitális önrendelkezési jog; közösségi média platformok.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társadalmunk olyan különösen védett tagjai, akiknek az érdekeit minden jogi eszközzel védeni kell, fejlődésük pedig a lehető legbiztonságosabb keretek közt biztosítandó. A gyermekeket ugyanúgy megilleti az Alaptörvénybe foglalt egyik legfontosabb és legalapvetőbb jog: az emberi méltósághoz való jog, ami magában foglalja az adott személy önrendelkezési jogát a tekintetben is, hogy a saját életét érintő kérdésekben hogyan szeretne dönteni.</w:t>
      </w:r>
      <w:r>
        <w:rPr>
          <w:color w:val="000000"/>
          <w:sz w:val="24"/>
          <w:szCs w:val="24"/>
        </w:rPr>
        <w:br/>
        <w:t xml:space="preserve">Dolgozatomban az alapjogként rögzített önrendelkezési jognak, azon belül is a gyermekeket megillető önrendelkezési jog feldolgozására fektetem a hangsúlyt az Alaptörvény vonatkozó rendelkezésein, az 1997. évi XXXI. törvény a gyermekek védelméről és a gyámügyi igazgatásról szóló törvény (a továbbiakban: Gyvtv.) szabályain, Alkotmánybírósági határozatokon, az Egyesült Nemzetek Szervezete által készített Gyermekjogi Egyezménybe foglalt jogokon és a releváns európai unióban elfogadott szabályokon keresztül. Fontosnak tartom kiemelni a közösségi média térhódításának hatására a gyermekek online térben jelen lévő jogait az önrendelkezési jogra, emberi méltósághoz való jogra, valamint a véleménynyilvánításhoz való jogra levetítve. E kérdéseket a jelenlegi jogi szabályozás tükrében vizsgálom. Nagy hangsúlyt fektetek a META közösségi hálózat csoportjába tartozó Facebook és a TikTok platformokon alkalmazandó szabályanyag áttekintésére. Mindkét platform esetében megállapítható, hogy a gyermek érdekeit védő szabályrendszer került kialakításra, azonban a dokumentumokban megfogalmazott regisztrációhoz szükséges minimum életkori határ ellenőrzése véleményem szerint a gyakorlatban nem megfelelően biztosított.</w:t>
      </w:r>
      <w:r>
        <w:rPr>
          <w:color w:val="000000"/>
          <w:sz w:val="24"/>
          <w:szCs w:val="24"/>
        </w:rPr>
        <w:br/>
        <w:t xml:space="preserve">Milyen tartalommal tudjuk megtölteni az Alaptörvénybe foglalt jogokat egy dinamikusan változó, online térben? Tudjuk-e biztosítani az emberi méltósághoz való jog védelmét a gyermekek számára a közösségi médiában? Dolgozatom ezekre a kérdésekre keresi a választ.</w:t>
      </w:r>
      <w:r>
        <w:rPr>
          <w:color w:val="000000"/>
          <w:sz w:val="24"/>
          <w:szCs w:val="24"/>
        </w:rPr>
        <w:br/>
        <w:t xml:space="preserve">Kutatásom részét képezte ezen túl az Európai Unió országainak vizsgálata is abban a tekintetben, hogy a különböző alkotmányok hogyan szabályozzák a gyermekek önrendelkezési jogára vonatkozó passzusokat, azonban az elemzés tekintetében a német modellre fektetem a hangsúlyt, ahol egy külön jogszabály van érvényben a gyermekek médiahasználatára vonatkozóan, ami akár egy hasonló hazai jogszabály létrehozásának alapját is adhatná.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51276">
    <w:multiLevelType w:val="hybridMultilevel"/>
    <w:lvl w:ilvl="0" w:tplc="45122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51276">
    <w:abstractNumId w:val="94551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833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