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VERES GERGŐ</w:t>
            </w:r>
          </w:p>
          <w:p w:rsidR="00C275A3" w:rsidRDefault="00CA6B74" w:rsidP="00C275A3">
            <w:pPr>
              <w:pStyle w:val="Hallgatokepzes"/>
            </w:pPr>
            <w:r w:rsidRPr="001067CD">
              <w:rPr>
                <w:i/>
              </w:rPr>
              <w:t>veresgergo2002@gmail.com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Gula József</w:t>
            </w:r>
          </w:p>
          <w:p w:rsidR="00DB4822" w:rsidRDefault="00DB4822" w:rsidP="00BA6BAF">
            <w:pPr>
              <w:pStyle w:val="Konzulensektitulus"/>
            </w:pPr>
            <w:r w:rsidRPr="00DB4822">
              <w:t>egyetemi docens,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Pedofília elmélete különös tekintettel a beleegyezési korhatárra, és az alkalmazható megoldásokra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pedofília; beleegyezési korhatár; “pedofil”-nyilvántartás; kémiai kasztráció; DSM-5</w:t>
      </w:r>
      <w:r>
        <w:t xml:space="preserve"/>
      </w:r>
    </w:p>
    <w:p>
      <w:pPr>
        <w:widowControl w:val="on"/>
        <w:pBdr/>
        <w:spacing w:before="240" w:after="240" w:line="240" w:lineRule="auto"/>
        <w:ind w:left="0" w:right="0"/>
        <w:jc w:val="left"/>
      </w:pPr>
      <w:r>
        <w:rPr>
          <w:color w:val="000000"/>
          <w:sz w:val="24"/>
          <w:szCs w:val="24"/>
        </w:rPr>
        <w:t xml:space="preserve">A pedofília kifejezés nagy népszerűségre tett szert napjainkban a felnőttek és a gyermekek közötti szexuális kapcsolatok leírására, de vajon tényleg ennyire egyszerű jelenség, mint ahogyan azt sokan gondolják? Tanulmányomban többek között ezzel is foglalkoztam és célként tűztem ki, hogy választ kapjak olyan kérdésekre, hogy: Mi is az a pedofília? Kik a pedofilok? Milyen tényezők játszhatnak szerepet a pedofília kialakulásában? Továbbá, hogy kritikákat fogalmazzak meg a beleegyezési korhatárral kapcsolatban és felvázoljak néhány lehetséges megoldást a probléma orvoslására.</w:t>
      </w:r>
      <w:r>
        <w:rPr>
          <w:color w:val="000000"/>
          <w:sz w:val="24"/>
          <w:szCs w:val="24"/>
        </w:rPr>
        <w:br/>
        <w:t xml:space="preserve">Az egyik legfontosabb megállapításnak tartom, hogy nem minden pedofil beteg követ el a gyermekek sérelmére szexuális bűncselekményt és nem minden gyermekek sérelmére elkövetett szexuális bűncselekmény elkövetője pedofil. Ezen állítással nemcsak a köznyelv, de a szakmabeliek nagy része sincs tisztában. Legjobban demonstrálja ezt a 2021. évi LXXIX. törvény, amely Pedofiltörvényként terjedt el és az elnevezésében szerepel, hogy a „Pedofil bűnelkövetőkkel szembeni szigorúbb fellépésről”. Később azonban láthatjuk, hogy a törvény a nemi élet szabadsága és a nemi erkölcs elleni bűncselekmények elkövetőiről/elítéltjeiről rendelkezik, pedig a kettő közé nem lehet egyenlőségjelet tenni.</w:t>
      </w:r>
      <w:r>
        <w:rPr>
          <w:color w:val="000000"/>
          <w:sz w:val="24"/>
          <w:szCs w:val="24"/>
        </w:rPr>
        <w:br/>
        <w:t xml:space="preserve">Dolgozatom egyik tételmondatának tartom, hogy „Szexuális erőszakot követ el az is, és öt évtől tíz évig terjedő szabadságvesztés büntetéssel büntetendő, aki tizennegyedik életévét be nem töltött személlyel szexuális cselekményt végez vagy végeztet.” Ezen módosítás szükségességét megpróbáltam alátámasztani büntetőjogi, polgári jogi, statisztikai és pszichológiai érvekkel egyaránt. Természetesen ez a szexuális visszaélés bűncselekmény „megsemmisüléséhez” vezetne, ami elég nagy probléma, így véleményem szerint a beleegyezési korhatárt 16. életévre kellene emelni. Meglátásomat arra alapoztam, hogy Magyarországon a szexuális okítás gyermekcipőben jár, így nem várhatjuk el a 16 év alatti gyermekektől, hogy a testükkel kapcsolatban felelős döntéseket hozzanak.</w:t>
      </w:r>
      <w:r>
        <w:rPr>
          <w:color w:val="000000"/>
          <w:sz w:val="24"/>
          <w:szCs w:val="24"/>
        </w:rPr>
        <w:br/>
        <w:t xml:space="preserve">Megoldások tekintetében összevetettem USA és Magyarország „pedofil”-nyilvántartását, nagy hangsúlyt fektettem a két rendszer közötti különbségek kiemelésére. Indítványoztam egy olyan nyilvántartás bevezetését, amely a kettő metszetéből rakható össze, vagyis a személyiségi jogok megfelelő tiszteletben tartása mellett minden nagykorú magyar állampolgár számára elérhető. Végül dolgozatomat egy különleges megoldás, a kémiai kasztráció feltérképezésével zártam.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83956">
    <w:multiLevelType w:val="hybridMultilevel"/>
    <w:lvl w:ilvl="0" w:tplc="47632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83956">
    <w:abstractNumId w:val="942839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0417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