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GRÉTA</w:t>
            </w:r>
          </w:p>
          <w:p w:rsidR="00C275A3" w:rsidRDefault="00CA6B74" w:rsidP="00C275A3">
            <w:pPr>
              <w:pStyle w:val="Hallgatokepzes"/>
            </w:pPr>
            <w:r w:rsidRPr="001067CD">
              <w:rPr>
                <w:i/>
              </w:rPr>
              <w:t>m.greta27@gmail.com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Béres Nóra, PhD</w:t>
            </w:r>
          </w:p>
          <w:p w:rsidR="00DB4822" w:rsidRDefault="00DB4822" w:rsidP="00BA6BAF">
            <w:pPr>
              <w:pStyle w:val="Konzulensektitulus"/>
            </w:pPr>
            <w:r w:rsidRPr="00DB4822">
              <w:t>egyetemi adjunktus,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eutanázia megítélése az Emberi Jogok Európai Bíróságának esetjogában, különös tekintettel a Karsai Dániel-ügyre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eutanázia; Karsai Dániel-ügy</w:t>
      </w:r>
      <w:r>
        <w:t xml:space="preserve"/>
      </w:r>
    </w:p>
    <w:p>
      <w:pPr>
        <w:widowControl w:val="on"/>
        <w:pBdr/>
        <w:spacing w:before="240" w:after="240" w:line="240" w:lineRule="auto"/>
        <w:ind w:left="0" w:right="0"/>
        <w:jc w:val="left"/>
      </w:pPr>
      <w:r>
        <w:rPr>
          <w:color w:val="000000"/>
          <w:sz w:val="24"/>
          <w:szCs w:val="24"/>
        </w:rPr>
        <w:t xml:space="preserve">Jelen rezümében szeretném röviden bemutatni a TDK dolgozatomat, melynek címe „Az eutanázia megítélése az Emberi Jogok Európai Bíróságának esetjogában, különös tekintettel a Karsai Dániel-ügyre”, továbbá a kutatási eredményemet is ismertetem. A tudományos kutatásom célja az eutanáziával kapcsolatos magyar jogi szabályozás és az Emberi Jogok Európai Bírósága esetjogának áttekintése. Megvizsgáltam a hazai jogszabályi környezetet, illetve részletesen elemeztem az Emberi Jogok Európai Bíróságának eutanáziával kapcsolatos releváns ítéleteit, azonban különösen Karsai Dániel ügyének feldolgozását priorizáltam. Kutatásomban elsősorban a fogalom-és jogeset elemző kutatási módszereket alkalmaztam.</w:t>
      </w:r>
      <w:r>
        <w:rPr>
          <w:color w:val="000000"/>
          <w:sz w:val="24"/>
          <w:szCs w:val="24"/>
        </w:rPr>
        <w:br/>
        <w:t xml:space="preserve">Elmondható, hogy az Európa Tanács tagállamaiban egyre nagyobb teret nyer az orvos által történő halálba segítés, ezért érdemes figyelemmel kísérni az egyes nemzeti jogszabályok változását és az Emberi Jogok Európai Bíróságának esetleges joggyakorlat változásait. Ennek ellenére vélemény szerint előre látható volt Karsai Dániel ügyének kimenetele, ugyanis az EJEB joggyakorlatából az a konzekvencia vonható le, hogy széles mérlegelési jogkört biztosít a tagállami hatóságok számára az eutanázia szabályozásával kapcsolatban. Az EJEB döntését azzal indokolta, hogy a tagállami hatóságok nagyobb rálátással rendelkeznek az adott társadalmi berendezkedésre. Összességében kutatásom során arra a megállapításra jutottam, hogy az EJEB továbbra sem állapítja meg az Emberi Jogok Európai Egyezménye megsértését azon tagálamokkal szemben, amelyek nem tesznek jogi előre lépéseket az eutanázia dekriminalizálása érdekében.</w:t>
      </w:r>
      <w:r>
        <w:rPr>
          <w:color w:val="000000"/>
          <w:sz w:val="24"/>
          <w:szCs w:val="24"/>
        </w:rPr>
        <w:br/>
        <w:t xml:space="preserve">Meglátásom szerint a magyar Btk. öngyilkosságban közreműködés szabályozásán enyhíteni lehetne megfelelő törvényi keretek biztosítása mellett. Úgy gondolom, amennyiben a jogalkotó az ellátás visszautasításának jogához hasonlóan szigorú törvényi keretet szabna és többlépcsős ellenőrzési rendszer állítana fel a visszaélések elkerülése érdekében kivitelezhető lenne az életvégi döntések legalizálása, azon betegek részére, akik teljes cselekvőképességgel rendelkeznek, viszont olyan gyógyíthatatlan betegségben szenvednek, amely fizikai vagy mentális szenvedéssel jár. Amennyiben a betegeknek lehetőségük lenne életük befejezéséről döntést hozni, elkerülhetnék a kínok közötti haldoklás fázisát, a kiszolgáltatottságot és teljes méltósággal tudnák befejezni életüket.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19162">
    <w:multiLevelType w:val="hybridMultilevel"/>
    <w:lvl w:ilvl="0" w:tplc="42319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19162">
    <w:abstractNumId w:val="78419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295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