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madaraszandrea873@gmail.com</w:t>
            </w:r>
            <w:r w:rsidRPr="001067CD">
              <w:rPr>
                <w:i/>
              </w:rPr>
              <w:br/>
            </w:r>
            <w:r w:rsidR="00A96AEC">
              <w:t>személyügyi, munkaügyi és szociális igazgatás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Mélypataki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szociálpolitikai reformjai: a munka és a családi élet egyensúlyának támogatása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munka-magánélet; apasági szabadság; nemek közötti egyenlőség; 2019/1158 irányelv;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kifejtésre kerül, hogy a 2019/1158 irányelv célja a nemek közötti egyenlőség és a munkahelyi alapvető jogok erősítése, különös tekintettel az apasági szabadság intézményének bevezetésére.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kérdése, hogy az EU tagállamaiban az irányelv bevezetése hogyan járul hozzá a nemek közötti egyenlőséghez és a munka-magánélet egyensúlyának megteremtéséhez. Kiemelt figyelmet fordít az apasági szabadság hatásaira és annak szerepére a nemek közötti egyenlőség előmozdításában. Az Európai Unióban a munka és magánélet egyensúlya kiemelt fontosságúvá vált a nők munkaerő-piaci részvételének növekedésével és a kétkeresős családmodell elterjedésével. Az új irányelv elfogadása mérföldkő az EU szociálpolitikai reformjai között.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tárgyalja az irányelvek fejlődését és hatását. Az előző, 2010/18/EU irányelv korlátait felismerve az új irányelv korszerűbb szabályozást vezetett be, amely előírja a szülői szabadság átruházhatatlanságát és minimum 10 munkanap fizetett apai szabadságot. Az irányelv célja továbbá a hagyományos nemi szerepekkel kapcsolatos sztereotípiák lebontása és a férfiak aktívabb részvételének előmozdítása a gyermeknevelésben. A kutatás eredményei azt mutatják, hogy az irányelv bevezetése pozitív hatással van a nemek közötti egyenlőségre, mivel több apát ösztönöz a szülői szabadság igénybevételére, ezáltal csökkentve a nőkre háruló gondozási terheket. A munkahelyi kultúra változása és a rugalmas munkavégzési formák elterjedése elősegíti a munka-magánélet egyensúlyának megteremtését mindkét nem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dolgozat megállapítja, hogy az EU 2019/1158 irányelve jelentős előrelépést jelent a munka és családi élet egyensúlyának támogatásában, különösen az apák szerepvállalásának erősítése révén. Az irányelv hatásai hosszú távon hozzájárulhatnak a nemek közötti egyenlőség megteremtéséhez a munkaerőpiacon és a családi életben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12354">
    <w:multiLevelType w:val="hybridMultilevel"/>
    <w:lvl w:ilvl="0" w:tplc="72990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12354">
    <w:abstractNumId w:val="32412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832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