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zoltanjenei1007@gmail.com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Magánjogi eszközökkel a vallási közösségeket ért gyűlöletbeszéd 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gyűlöletbeszéd, blaszfémia, átsugárzás-elmélet, emberi méltóság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gyűlöletbeszéd jogi szabályozásáról szóló, hazai és nemzetközi szinten is zajló vita olykor felélénkül, máskor nyugodni látszik. Rohamosan fejlődő világunk azonban egyre inkább próbára teszi a személyiségi jogokról vallott felfogásunkat azzal, hogy újra és újra szembesít minket a gyűlöletbeszéd jelensége által felvetett megosztó kérdésekkel.</w:t>
      </w:r>
      <w:r>
        <w:rPr>
          <w:color w:val="000000"/>
          <w:sz w:val="24"/>
          <w:szCs w:val="24"/>
        </w:rPr>
        <w:br/>
        <w:t xml:space="preserve">Egységes nemzetközi felfogás hiányában egyes szekularizált államok kiállnak a vélemény kifejezésének szabadsága mellett, miközben a muzulmán országok többsége szigorú szabályozást követel a vallási alapú gyűlöletbeszéd visszaszorítása érdekében. A komplex módszer lehetősége azt kívánja meg, hogy a jogágakon átívelő jelleggel bíró gyűlöletbeszéd jelenség jogi szabályozására a közjogi, elsődlegesen büntetőjogi fellépés mellett a magánjogi eszközök használatával szorítsa vissza a jogalkotó a jogsértő diskurzusokat. Az európai országok jellemzően a büntetőjogi fellépés alkalmazásával kívánják elejét venni a gyűlöletkeltő véleménynyilvánításoknak, de a magyar jogalkotó a magánjogi szabályozásra tett kísérletek kudarca után a 2013. évi polgári törvénykönyvbe új jogintézményként emelte be a – sok vitát megért – gyűlöletbeszéd-klauzula tényállását, amelyet a német jogból származó átsugárzás-elméletre alapított.</w:t>
      </w:r>
      <w:r>
        <w:rPr>
          <w:color w:val="000000"/>
          <w:sz w:val="24"/>
          <w:szCs w:val="24"/>
        </w:rPr>
        <w:br/>
        <w:t xml:space="preserve">Tekintettel arra, hogy a magyar Alkotmánybíróság értelmezése szerint a vallás a személyiség integráns része, a vallási közösségek tagjait megillető személyiségi jogok védelméhez erős alkotmányos kötelék társul. Az Alkotmánybíróság mellett az Emberi Jogok Európai Bíróságának következetes joggyakorlata is arra mutat rá, hogy a véleménynyilvánítás szabadsága által nyújtott védelem már nem vonatkozik az olyan öncélú, diszkriminatív jellegű közlésekre, amelyek mások emberi méltóságát a társadalom valamely közösségéhez való tartozásuk által sértik.</w:t>
      </w:r>
      <w:r>
        <w:rPr>
          <w:color w:val="000000"/>
          <w:sz w:val="24"/>
          <w:szCs w:val="24"/>
        </w:rPr>
        <w:br/>
        <w:t xml:space="preserve">A vallási alapú gyűlöletbeszéd nem egyezik meg a vallások kritikájával, a jogi szabályozást ugyanis nem a vallási dogmáknak, hanem az emberi méltóságnak mint a jog által a legmagasabb szinten védett emberi értéknek kell alárendelni. Jóllehet a jog nem konstruálhat a közösségek számára emberi méltóságot, a közösségek tagjainak emberi méltósága által kifejtett védelem a vallási érzékenység helyett a vallási önazonosság személyiségi jogi tényezőjére vonatkozik. E körben vitára ad okot az a kérdés is, hogy a társadalomban kisebbségben lévő csoportok tagjait illeti-e meg a személyiségi jogi védelem, vagy a szabályozásnak az identitást kell védenie.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89264">
    <w:multiLevelType w:val="hybridMultilevel"/>
    <w:lvl w:ilvl="0" w:tplc="87138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89264">
    <w:abstractNumId w:val="690892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736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