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INTAN TAWADDADA ILAIHA</w:t>
            </w:r>
          </w:p>
          <w:p w:rsidR="00C275A3" w:rsidRDefault="00CA6B74" w:rsidP="00C275A3">
            <w:pPr>
              <w:pStyle w:val="Hallgatokepzes"/>
            </w:pPr>
            <w:r w:rsidRPr="001067CD">
              <w:rPr>
                <w:i/>
              </w:rPr>
              <w:t>intanilaiha@gmail.com</w:t>
            </w:r>
            <w:r w:rsidRPr="001067CD">
              <w:rPr>
                <w:i/>
              </w:rPr>
              <w:br/>
            </w:r>
            <w:r w:rsidR="00A96AEC">
              <w:t>International Economy and Business</w:t>
            </w:r>
            <w:r w:rsidR="00A96AEC">
              <w:br/>
            </w:r>
            <w:r w:rsidR="00E77B23">
              <w:t>MSc, 3. semester</w:t>
            </w:r>
          </w:p>
          <w:p w:rsidR="00C265CE" w:rsidRPr="009E5FF1" w:rsidRDefault="00E77B23" w:rsidP="00BA6BAF">
            <w:pPr>
              <w:pStyle w:val="Hallgatointezmeny-kar"/>
              <w:rPr>
                <w:b/>
                <w:caps/>
              </w:rPr>
            </w:pPr>
            <w:r>
              <w:t>Széchenyi István University</w:t>
            </w:r>
            <w:r w:rsidR="00C275A3">
              <w:br/>
            </w:r>
            <w:r w:rsidR="00DB4822">
              <w:t>Kautz Gyula 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Eszter Kazinczy</w:t>
            </w:r>
          </w:p>
          <w:p w:rsidR="00DB4822" w:rsidRDefault="00DB4822" w:rsidP="00BA6BAF">
            <w:pPr>
              <w:pStyle w:val="Konzulensektitulus"/>
            </w:pPr>
            <w:r w:rsidRPr="00DB4822">
              <w:t>Assistant Professor,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ASEAN Green Economy and Sustainable Practices Index in 2022: Quintuple Helix Approach</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Green Economy, Sustainability Practices, Quintuple Helix Model, ASEAN</w:t>
      </w:r>
      <w:r>
        <w:t xml:space="preserve"/>
      </w:r>
    </w:p>
    <w:p>
      <w:pPr>
        <w:widowControl w:val="on"/>
        <w:pBdr/>
        <w:spacing w:before="240" w:after="240" w:line="240" w:lineRule="auto"/>
        <w:ind w:left="0" w:right="0"/>
        <w:jc w:val="left"/>
      </w:pPr>
      <w:r>
        <w:rPr>
          <w:color w:val="000000"/>
          <w:sz w:val="24"/>
          <w:szCs w:val="24"/>
        </w:rPr>
        <w:t xml:space="preserve">ASEAN is a region with rapid economic growth and significant environmental challenges. This study aims to create an Index to evaluate and compare Green Economy and Sustainability Practices of each ASEAN country. Using the Quintuple Helix Model, the study constructs a composite index based on five indicators: Education (Student-Teacher Ratio), Economy (GDP per Capita), Political (Government Effectiveness), Social (Income Inequality), and Environmental (Carbon Emission per Capita). The analysis reveals that countries with higher government effectiveness, such as Singapore and Brunei Darussalam, tend to perform better in overall index. Wealthier countries, particularly Singapore, demonstrate stronger Green Economy and Sustainable Practices Index, suggesting a potential link between economic growth and improved sustainability. Additionally, better education systems, indicated by lower student-teacher ratios, are associated with higher index. Furthermore, reducing income inequality positively influences the index as well. However, the hypothesis that higher scores in the Green Economy and Sustainable Practices Index would lead to lower carbon emissions per capita is not strongly supported, indicating the influence of complex factors on carbon emissions. The study's findings are based on the most recent available data from 2022, which may have limitations in terms of accuracy in real time and comprehensiveness. This study provides a novel approach to evaluating Green Economy and Sustainable Practices in ASEAN countries, offering valuable insights for policymakers and stakeholders. Using more recent data and evaluating the factors influencing carbon emissions and its impact on sustainability can be explored for future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069981">
    <w:multiLevelType w:val="hybridMultilevel"/>
    <w:lvl w:ilvl="0" w:tplc="587396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069981">
    <w:abstractNumId w:val="300699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87441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