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nemethakos20020328@gmail.com</w:t>
            </w:r>
            <w:r w:rsidRPr="001067CD">
              <w:rPr>
                <w:i/>
              </w:rPr>
              <w:br/>
            </w:r>
            <w:r w:rsidR="00A96AEC">
              <w:t>Gazdálkodási és menedzsment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PAPP ZSÓFIA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zsofiaa.papp2002@gmail.com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Gazdálkodási- és menedzsment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Koltai Judit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Vinkóczi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Családi és nem családi vállalatok teljesítménye a magyar járműiparban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járműipar; családi vállalatok; nem családi vállalatok, teljesítményelemzés; versenyképesség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járműipar meghatározó ágazata a magyar gazdaságnak, amely az elmúlt években is folyamatosan fejlődik. Egyik kiemelt területe a feldolgozóiparnak, mivel nagymértékben járul hozzá az exporthoz és a munkahelyteremtéshez, valamint a technológiai innováció fejlődéséhez. Jelenleg is több, mint 8 000 milliárd Forint értékű beruházás van folyamatban az iparágban. A családi és nem családi autóipari vállalatok között számos érdekes különbség figyelhető meg, amelyek hatással vannak a vállalatok működésére, stratégiáira, döntéshozatali mechanizmusaira és hosszú távú céljaikra. Dolgozatunkban a magyarországi közúti járműgyártással foglalkozó családi és nem családi vállalatok helyzetének és teljesítményének elemzését tűztük ki célul a 2019–2023 közötti időszakban. Elemzésünket az OPTEN adatbázis adatai alapján készítettük el, amelyben leszűrésre kerültek a Magyarországon közúti járműgyártással foglalkozó vállalatok. Az elemzésbe 204 vállalat beszámoló adatai és egyéb releváns információi kerültek bevonásra. A dolgozatban értékelésre kerültek az iparágban alkalmazott likviditási és teljesítménymérési mutatók, melyek segítségével elemeztük a családi és nem családi vállalkozások gazdasági eredményeinek alakulását az öt éves időintervallumban. A kutatás célja, hogy meghatározza a legfontosabb trendeket, valamint feltárja a családi és nem családi vállalatok közötti pénzügyi beszámoló adatokból tükröződő különbségeket. A felmérés eredményei hozzájárulnak a családi és nem családi autóipari vállalatok közötti pénzügyi teljesítmény különbségek megértéséhez, különösen a fenntarthatóság és versenyképesség szempontjából. Az eredmények fontos betekintést nyújtanak a vállalati válsághelyzet (COVID-19) kezelés eredményeinek eltéréseibe, illetve a piaci trendekhez való alkalmazkodásba. Ezáltal hasznos információval szolgálnak mind az akadémiai, mind az üzleti és politikai döntéshozók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48377">
    <w:multiLevelType w:val="hybridMultilevel"/>
    <w:lvl w:ilvl="0" w:tplc="79421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48377">
    <w:abstractNumId w:val="957483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820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