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NÉMETH</w:t>
            </w:r>
          </w:p>
          <w:p w:rsidR="00C275A3" w:rsidRDefault="00CA6B74" w:rsidP="00C275A3">
            <w:pPr>
              <w:pStyle w:val="Hallgatokepzes"/>
            </w:pPr>
            <w:r w:rsidRPr="001067CD">
              <w:rPr>
                <w:i/>
              </w:rPr>
              <w:t>nemethakos20020328@gmail.com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ZSÓFIA PAPP</w:t>
            </w:r>
          </w:p>
          <w:p w:rsidR="00DB4822" w:rsidRDefault="00CA6B74" w:rsidP="004D7940">
            <w:pPr>
              <w:pStyle w:val="Hallgatokepzes"/>
            </w:pPr>
            <w:r w:rsidRPr="001067CD">
              <w:rPr>
                <w:i/>
              </w:rPr>
              <w:t>zsofiaa.papp2002@gmail.com</w:t>
            </w:r>
            <w:bookmarkStart w:id="1" w:name="_GoBack"/>
            <w:bookmarkEnd w:id="1"/>
            <w:r w:rsidRPr="001067CD">
              <w:br/>
            </w:r>
            <w:r w:rsidR="00C275A3">
              <w:t>Economics and Management</w:t>
            </w:r>
            <w:r w:rsidR="00A96AEC">
              <w:br/>
              <w:t>BSc,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Business and Economics</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Petra Koltai</w:t>
            </w:r>
          </w:p>
          <w:p w:rsidR="00DB4822" w:rsidRDefault="00DB4822" w:rsidP="00BA6BAF">
            <w:pPr>
              <w:pStyle w:val="Konzulensektitulus"/>
            </w:pPr>
            <w:r w:rsidRPr="00DB4822">
              <w:t>associate professor, SZE KGK</w:t>
            </w:r>
          </w:p>
        </w:tc>
      </w:tr>
      <w:tr w:rsidR="00DB4822" w:rsidTr="00DB4822">
        <w:tc>
          <w:tcPr>
            <w:tcW w:w="9854" w:type="dxa"/>
          </w:tcPr>
          <w:p w:rsidR="00DB4822" w:rsidRPr="00DB4822" w:rsidRDefault="00DB4822" w:rsidP="00BA6BAF">
            <w:pPr>
              <w:pStyle w:val="Konzulenseknev"/>
            </w:pPr>
            <w:r w:rsidRPr="00DB4822">
              <w:t>Dr. Tamás Vinkóczi</w:t>
            </w:r>
          </w:p>
          <w:p w:rsidR="00DB4822" w:rsidRDefault="00DB4822" w:rsidP="00BA6BAF">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PERFORMANCE OF FAMILY AND NON-FAMILY BUSINESSES IN THE HUNGARIAN AUTOMOTIVE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automotive industry; family firms; non-family firms; performance analysis; competitiveness</w:t>
      </w:r>
      <w:r>
        <w:t xml:space="preserve"/>
      </w:r>
    </w:p>
    <w:p>
      <w:pPr>
        <w:widowControl w:val="on"/>
        <w:pBdr/>
        <w:spacing w:before="240" w:after="240" w:line="240" w:lineRule="auto"/>
        <w:ind w:left="0" w:right="0"/>
        <w:jc w:val="left"/>
      </w:pPr>
      <w:r>
        <w:rPr>
          <w:color w:val="000000"/>
          <w:sz w:val="24"/>
          <w:szCs w:val="24"/>
        </w:rPr>
        <w:t xml:space="preserve">The automotive industry is a key sector of the Hungarian economy, which has been continuously developing in recent years. It is one of the most prominent areas of manufacturing, as it significantly contributes to exports, job creation, and technological innovation. Currently, investments worth more than HUF 8,000 billion are underway in the industry. There are numerous interesting differences between family-owned and non-family automotive companies that influence their operations, strategies, decision-making mechanisms, and long-term goals. Our study aims to analyze the situation and performance of family-owned and non-family companies engaged in road vehicle manufacturing in Hungary during the 2019–2023 period. Our analysis is based on data from the OPTEN database, where companies engaged in road vehicle manufacturing in Hungary were filtered. The analysis included financial statements and other relevant information from 204 companies. In the study, we evaluated liquidity and performance indicators used in the industry to analyze the economic results of family-owned and non-family businesses over the five-year period. The research aims to identify key trends and uncover differences reflected in the financial statement data of family-owned and non-family companies. The survey results contribute to understanding the financial performance differences between family-owned and non-family automotive companies, particularly in terms of sustainability and competitiveness. The findings provide important insights into the differences in managing corporate crises (e.g., COVID-19) and adapting to market trends. This research thus offers valuable information for academic, business, and policy decision-makers alike.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85059">
    <w:multiLevelType w:val="hybridMultilevel"/>
    <w:lvl w:ilvl="0" w:tplc="99320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85059">
    <w:abstractNumId w:val="49585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289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