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LILI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lili.eszter2002@gmail.com</w:t>
            </w:r>
            <w:r w:rsidRPr="001067CD">
              <w:rPr>
                <w:i/>
              </w:rPr>
              <w:br/>
            </w:r>
            <w:r w:rsidR="00A96AEC">
              <w:t>Testnevelő és gyógytestnevelő tanári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Bartusné Prof. Dr. Szmodis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Sport- és Egészségtudományi Intézet Intézetigazgató,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Györe István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sportszakorvos,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NAD és a FAD szerepe az állóképességi sportok metabolikus folyamataiban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spiroergometria VO2 , NAD, FAD2 , NAD/FAD arány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Kutatásunk célja az volt, hogy átfogóbb ismeretet és új megvilágítást nyújtson a NAD</w:t>
      </w:r>
      <w:r>
        <w:rPr>
          <w:color w:val="000000"/>
          <w:sz w:val="24"/>
          <w:szCs w:val="24"/>
        </w:rPr>
        <w:br/>
        <w:t xml:space="preserve">(nikotinamid-adenin-dinukleotid) és a FAD (flavin-adenin-dinukleotid) mennyiségének</w:t>
      </w:r>
      <w:r>
        <w:rPr>
          <w:color w:val="000000"/>
          <w:sz w:val="24"/>
          <w:szCs w:val="24"/>
        </w:rPr>
        <w:br/>
        <w:t xml:space="preserve">számításáról és jelentőségéről a sportteljesítményben, valamint ezen kofaktorok szerepéről az</w:t>
      </w:r>
      <w:r>
        <w:rPr>
          <w:color w:val="000000"/>
          <w:sz w:val="24"/>
          <w:szCs w:val="24"/>
        </w:rPr>
        <w:br/>
        <w:t xml:space="preserve">állóképességi sportok és a metabolikus folyamatok tekintetében.</w:t>
      </w:r>
      <w:r>
        <w:rPr>
          <w:color w:val="000000"/>
          <w:sz w:val="24"/>
          <w:szCs w:val="24"/>
        </w:rPr>
        <w:br/>
        <w:t xml:space="preserve">Anyag és módszerek</w:t>
      </w:r>
      <w:r>
        <w:rPr>
          <w:color w:val="000000"/>
          <w:sz w:val="24"/>
          <w:szCs w:val="24"/>
        </w:rPr>
        <w:br/>
        <w:t xml:space="preserve">Összesen 36 főt vizsgáltunk: 12 fő sportszakos egyetemi hallgatót (MTSE) és 7 férfi országúti</w:t>
      </w:r>
      <w:r>
        <w:rPr>
          <w:color w:val="000000"/>
          <w:sz w:val="24"/>
          <w:szCs w:val="24"/>
        </w:rPr>
        <w:br/>
        <w:t xml:space="preserve">kerékpárost kerékpár-ergométeren, 17 főt futószalagon terheltünk. Első vizsgálatunk egy vita</w:t>
      </w:r>
      <w:r>
        <w:rPr>
          <w:color w:val="000000"/>
          <w:sz w:val="24"/>
          <w:szCs w:val="24"/>
        </w:rPr>
        <w:br/>
        <w:t xml:space="preserve">maxima terhelés volt Woodway futószalagon, ahol az intenzitást percenként lineárisan</w:t>
      </w:r>
      <w:r>
        <w:rPr>
          <w:color w:val="000000"/>
          <w:sz w:val="24"/>
          <w:szCs w:val="24"/>
        </w:rPr>
        <w:br/>
        <w:t xml:space="preserve">növeltük a teljes kifáradásig. Második vizsgálatunk többlépcsős, kerékpárergométeres</w:t>
      </w:r>
      <w:r>
        <w:rPr>
          <w:color w:val="000000"/>
          <w:sz w:val="24"/>
          <w:szCs w:val="24"/>
        </w:rPr>
        <w:br/>
        <w:t xml:space="preserve">terhelésből állt. Az intenzitást 3 percenként 35 Wattal növeltük. Tejsavmérés nyugalomban és</w:t>
      </w:r>
      <w:r>
        <w:rPr>
          <w:color w:val="000000"/>
          <w:sz w:val="24"/>
          <w:szCs w:val="24"/>
        </w:rPr>
        <w:br/>
        <w:t xml:space="preserve">terhelési lépcsőnként történt. Az eredményeket a maximális teljesítmény százalékában</w:t>
      </w:r>
      <w:r>
        <w:rPr>
          <w:color w:val="000000"/>
          <w:sz w:val="24"/>
          <w:szCs w:val="24"/>
        </w:rPr>
        <w:br/>
        <w:t xml:space="preserve">(Watt%) is meghatároztuk. Az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felvételből és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leadásból becsültük meg a koenzimek</w:t>
      </w:r>
      <w:r>
        <w:rPr>
          <w:color w:val="000000"/>
          <w:sz w:val="24"/>
          <w:szCs w:val="24"/>
        </w:rPr>
        <w:br/>
        <w:t xml:space="preserve">mennyiségét. Az oxidatív foszforiláció során egy koenzimhez 1 oxigénatom kapcsolódik,</w:t>
      </w:r>
      <w:r>
        <w:rPr>
          <w:color w:val="000000"/>
          <w:sz w:val="24"/>
          <w:szCs w:val="24"/>
        </w:rPr>
        <w:br/>
        <w:t xml:space="preserve">ezért a keletkezett NAD és FAD mennyisége egyenlő az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molekulák kétszeresével.</w:t>
      </w:r>
      <w:r>
        <w:rPr>
          <w:color w:val="000000"/>
          <w:sz w:val="24"/>
          <w:szCs w:val="24"/>
        </w:rPr>
        <w:br/>
        <w:t xml:space="preserve">Eredmény</w:t>
      </w:r>
      <w:r>
        <w:rPr>
          <w:color w:val="000000"/>
          <w:sz w:val="24"/>
          <w:szCs w:val="24"/>
        </w:rPr>
        <w:br/>
        <w:t xml:space="preserve">A hallgatók futószalagos és kerékpárergométeres, valamint az országúti kerékpárosok</w:t>
      </w:r>
      <w:r>
        <w:rPr>
          <w:color w:val="000000"/>
          <w:sz w:val="24"/>
          <w:szCs w:val="24"/>
        </w:rPr>
        <w:br/>
        <w:t xml:space="preserve">vizsgálata során a NAD és a Watt% között lineáris összefüggést mutattunk ki, míg a FAD</w:t>
      </w:r>
      <w:r>
        <w:rPr>
          <w:color w:val="000000"/>
          <w:sz w:val="24"/>
          <w:szCs w:val="24"/>
        </w:rPr>
        <w:br/>
        <w:t xml:space="preserve">értéke a maximális teljesítmény 65-80%-a között érte el, illetve közelítette meg a maximális</w:t>
      </w:r>
      <w:r>
        <w:rPr>
          <w:color w:val="000000"/>
          <w:sz w:val="24"/>
          <w:szCs w:val="24"/>
        </w:rPr>
        <w:br/>
        <w:t xml:space="preserve">értéket. A NAD/FAD aránnyal jól jellemezhetők a szervezetben végbemenő</w:t>
      </w:r>
      <w:r>
        <w:rPr>
          <w:color w:val="000000"/>
          <w:sz w:val="24"/>
          <w:szCs w:val="24"/>
        </w:rPr>
        <w:br/>
        <w:t xml:space="preserve">energiaszolgáltató folyamatok. A NAD/FAD hányados 2,6-os értékéig a vér tejsav</w:t>
      </w:r>
      <w:r>
        <w:rPr>
          <w:color w:val="000000"/>
          <w:sz w:val="24"/>
          <w:szCs w:val="24"/>
        </w:rPr>
        <w:br/>
        <w:t xml:space="preserve">koncentráció mind a három vizsgált csoport esetében 2 mmol/l alatt maradt, az intenzitás</w:t>
      </w:r>
      <w:r>
        <w:rPr>
          <w:color w:val="000000"/>
          <w:sz w:val="24"/>
          <w:szCs w:val="24"/>
        </w:rPr>
        <w:br/>
        <w:t xml:space="preserve">növelésével a tejsav meredeken nőtt, a NAD/FAD arány pedig megközelíttette a 4-es értéket.</w:t>
      </w:r>
      <w:r>
        <w:rPr>
          <w:color w:val="000000"/>
          <w:sz w:val="24"/>
          <w:szCs w:val="24"/>
        </w:rPr>
        <w:br/>
        <w:t xml:space="preserve">A hallgatók a 2,6-os értéket már a maximális teljesítmény 55-60%-nál elérték, míg a</w:t>
      </w:r>
      <w:r>
        <w:rPr>
          <w:color w:val="000000"/>
          <w:sz w:val="24"/>
          <w:szCs w:val="24"/>
        </w:rPr>
        <w:br/>
        <w:t xml:space="preserve">kerékpárosok csak 70-75%-nál.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NAD és a FAD változása az intenzitás függvényében, szorosan összefügg a</w:t>
      </w:r>
      <w:r>
        <w:rPr>
          <w:color w:val="000000"/>
          <w:sz w:val="24"/>
          <w:szCs w:val="24"/>
        </w:rPr>
        <w:br/>
        <w:t xml:space="preserve">teljesítménnyel, ami a sportági adaptációval, a magasabb edzettségi szinttel és ennek</w:t>
      </w:r>
      <w:r>
        <w:rPr>
          <w:color w:val="000000"/>
          <w:sz w:val="24"/>
          <w:szCs w:val="24"/>
        </w:rPr>
        <w:br/>
        <w:t xml:space="preserve">következtében a magasabb oxigénfelvétellel van összefüggésben. Az általunk kidolgozott új</w:t>
      </w:r>
      <w:r>
        <w:rPr>
          <w:color w:val="000000"/>
          <w:sz w:val="24"/>
          <w:szCs w:val="24"/>
        </w:rPr>
        <w:br/>
        <w:t xml:space="preserve">metodikával, noninvazív módon, jó megközelítéssel tudjuk becsülni a koenzimek</w:t>
      </w:r>
      <w:r>
        <w:rPr>
          <w:color w:val="000000"/>
          <w:sz w:val="24"/>
          <w:szCs w:val="24"/>
        </w:rPr>
        <w:br/>
        <w:t xml:space="preserve">mennyiségét és ezáltal a metabolikus folyamatok változását, pontosabb megközelítést ad az</w:t>
      </w:r>
      <w:r>
        <w:rPr>
          <w:color w:val="000000"/>
          <w:sz w:val="24"/>
          <w:szCs w:val="24"/>
        </w:rPr>
        <w:br/>
        <w:t xml:space="preserve">aerob és az anaerob folyamatokról, mintha önmagában csak a RER értékét vizsgálnánk.</w:t>
      </w:r>
      <w:r>
        <w:rPr>
          <w:color w:val="000000"/>
          <w:sz w:val="24"/>
          <w:szCs w:val="24"/>
        </w:rPr>
        <w:br/>
        <w:t xml:space="preserve">Eredmény 2024. 11. 27. Intézményi TDK, Különdíj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83290">
    <w:multiLevelType w:val="hybridMultilevel"/>
    <w:lvl w:ilvl="0" w:tplc="41363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83290">
    <w:abstractNumId w:val="240832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237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