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DÓKA GRÉTA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greti.doka@gmail.com</w:t>
            </w:r>
            <w:r w:rsidRPr="001067CD">
              <w:rPr>
                <w:i/>
              </w:rPr>
              <w:br/>
            </w:r>
            <w:r w:rsidR="00A96AEC">
              <w:t>Humánkineziológia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Matlák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Élvonalbeli női röplabdázók mérkőzés alatti külső terhelésének vizsgálata teljesítmény monitoring rendszerrel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röplabda; mérkőzés; külső terhelés; monitoring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technológia fejlődésével a mérkőzés alatti teljesítmény monitorozás szerves részét képezi az élsportnak. Röplabda sportágban különösen fontos, hogy a játékosokat egyénileg vizsgáljuk, ugyanis valamennyi poszt a különböző feladatkör következtében eltérő hely- és helyzetváltoztató mozgással jár (Lima és mtsai., 2019; Piatti és mtsai., 2022).</w:t>
      </w:r>
      <w:r>
        <w:rPr>
          <w:color w:val="000000"/>
          <w:sz w:val="24"/>
          <w:szCs w:val="24"/>
        </w:rPr>
        <w:br/>
        <w:t xml:space="preserve">Kutatásunk célja, hogy azonosítsuk a különböző posztok mérkőzés alatti teljesítményét, objektív képet kapjunk a fizikai követelményekről, ezzel segítséget adva az edzőknek a posztonkénti optimális felkészítéshez.</w:t>
      </w:r>
      <w:r>
        <w:rPr>
          <w:color w:val="000000"/>
          <w:sz w:val="24"/>
          <w:szCs w:val="24"/>
        </w:rPr>
        <w:br/>
        <w:t xml:space="preserve">A kutatásban a 2023/24-es női extraliga egyik csapatának összesen 16 mérkőzését vettük figyelembe, a vizsgálatban 12 fő (22,9±4,4 év; 181,6±5,2 cm; 70,1±7,1 kg) vett részt. A játékosok külső terhelését VERT IMU alapú teljesítmény monitoring rendszerrel rögzítettük. Az egyénenkénti labdamenet számot a jegyzőkönyvekből számítottuk ki, és megbecsültük a játékosok pályán töltött időtartamát. Meghatározásra került a felugrások percenkénti darabszáma, a „magas” felugrások átlag magassága, az emelkedett impakt erejű leérkezések százaléka, valamint a teljes munkavégzést reprezentáló energy mutató percenkénti értéke. A statisztikai riportból a támadási százalékot használtuk az ütő játékosok hatékonysági vizsgálatához.</w:t>
      </w:r>
      <w:r>
        <w:rPr>
          <w:color w:val="000000"/>
          <w:sz w:val="24"/>
          <w:szCs w:val="24"/>
        </w:rPr>
        <w:br/>
        <w:t xml:space="preserve">A posztok közötti különbségek vizsgálatára egyszempontos variancia-analízist (One-Way ANOVA) végeztünk. A támadási hatékonyság, illetve a vizsgált paraméterek közötti kapcsolatot Pearson ill. Spearman féle korreláció számítással vizsgáltuk meg. A szignifikancia szintet p&lt;0,05 értéknél állapítottuk meg.</w:t>
      </w:r>
      <w:r>
        <w:rPr>
          <w:color w:val="000000"/>
          <w:sz w:val="24"/>
          <w:szCs w:val="24"/>
        </w:rPr>
        <w:br/>
        <w:t xml:space="preserve">A felugrások percenkénti számában a feladó értéke szignifikánsan nagyobb volt valamennyi poszthoz viszonyítva (p&lt;0,001). A legnagyobb átlagos felugrási magassággal a feladóátlók rendelkeznek, szignifikánsan magasabb ugrásokat hajtottak végre, mint a többi poszton lévő játékos (p&lt;0,01). Az emelkedett impakt erejű leérkezések százalékos tekintetében, valamint az energy paraméter esetében is szignifikáns különbséget találtunk a posztok között (p&lt;0,001). A támadási hatékonyság, illetve a vizsgált paraméterek között több esetben szignifikáns korrelációt találtunk (r=-0,452-0,562).</w:t>
      </w:r>
      <w:r>
        <w:rPr>
          <w:color w:val="000000"/>
          <w:sz w:val="24"/>
          <w:szCs w:val="24"/>
        </w:rPr>
        <w:br/>
        <w:t xml:space="preserve">Kutatási eredményeink alátámasztják a posztonként eltérő fizikai követelményeket a mérkőzések tekintetében és segítségül szolgálhatnak a sportágban dolgozó szakemberek számára a játékosok edzés- és mérkőzés terhelésének optimalizálásához. Eredményeink általánosíthatóságához a jövőben nagyobb mintán végzett vizsgálatok 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07504">
    <w:multiLevelType w:val="hybridMultilevel"/>
    <w:lvl w:ilvl="0" w:tplc="34188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07504">
    <w:abstractNumId w:val="513075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15224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