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HAJÓS ALÍZ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aliz.hajos@gmail.com</w:t>
            </w:r>
            <w:r w:rsidRPr="001067CD">
              <w:rPr>
                <w:i/>
              </w:rPr>
              <w:br/>
            </w:r>
            <w:r w:rsidR="00A96AEC">
              <w:t>Humánkineziológia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Utczás Katinka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Labdajátékok antropometriai profiljának összehasonlítása serdülő és felnőtt korosztályban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testösszetétel; testalkat; antropometria; labdajáték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 robbanásszerű sporttudományi fejlődése lehetővé teszi, hogy a gyermekek testi adottságai alapján már egyre fiatalabb életkorban meghatározzuk, mely sportágak illenének hozzájuk leginkább. A szakemberek többek között a testalkatot, testösszetételt és testméreteket veszik figyelembe egy-egy sportági profil megalkotása során. Kutatásunk célja volt megvizsgálni a leányok körében négy legnépszerűbb labdajáték -vízilabda, kosárlabda, röplabda és kézilabda- sportolóinak alkati profilja közötti különbséget, valamint ezen különbségek differenciáló erejét felnőttkorban.</w:t>
      </w:r>
      <w:r>
        <w:rPr>
          <w:color w:val="000000"/>
          <w:sz w:val="24"/>
          <w:szCs w:val="24"/>
        </w:rPr>
        <w:br/>
        <w:t xml:space="preserve">A kutatásban összesen 171 serdülő és felnőtt korosztályú női sportoló vett részt. Mindegyik sportoló valamely magyarországi I. osztályú klubcsapat</w:t>
      </w:r>
      <w:r>
        <w:rPr>
          <w:color w:val="000000"/>
          <w:sz w:val="24"/>
          <w:szCs w:val="24"/>
        </w:rPr>
        <w:br/>
        <w:t xml:space="preserve">sportolója volt. A testméreteket a Nemzetközi Biológiai Program ajánlásai alapján mértük fel. A testösszetételt bioelektromos impedancia elvén működő készülékkel (InBody 720) becsültük. A testösszetevők közül a zsírtömeget, a zsírszázalékot, izomtömeget, izomszázalékot, valamint az izomtömeg indexet elemeztük. A testalkat komponenseinek kiszámításához a Heath-Carter-féle regressziós egyenleteket alkalmaztuk. A statisztikai elemzések során az átlag és szórás értékeket határoztuk meg. A serdülő és felnőtt korosztályokban a sportágak közötti különbséget egy szempontos varianciaanalízis (Tukey-féle post hoc test) segítségével vizsgáltuk. A szignifikancia szintet p&lt;0,05 határoztuk meg.</w:t>
      </w:r>
      <w:r>
        <w:rPr>
          <w:color w:val="000000"/>
          <w:sz w:val="24"/>
          <w:szCs w:val="24"/>
        </w:rPr>
        <w:br/>
        <w:t xml:space="preserve">A kosárlabdázók már serdülőkorban szignifikánsan nagyobb hosszúsági</w:t>
      </w:r>
      <w:r>
        <w:rPr>
          <w:color w:val="000000"/>
          <w:sz w:val="24"/>
          <w:szCs w:val="24"/>
        </w:rPr>
        <w:br/>
        <w:t xml:space="preserve">méretekkel rendelkeznek mind a többi labdajáték sportolói. A felső végtag kerületi</w:t>
      </w:r>
      <w:r>
        <w:rPr>
          <w:color w:val="000000"/>
          <w:sz w:val="24"/>
          <w:szCs w:val="24"/>
        </w:rPr>
        <w:br/>
        <w:t xml:space="preserve">méreteiben a vízilabdázók különültek el; serdülőkorban a feszített felkar kerületi értékében, míg felnőttkorban a legtöbb felsővégtag kerületi értékében. A testösszetevő komponensek vizsgálatakor nem tapasztaltunk jelentős különbséget a különböző sportágak sportolói között sem serdülő, sem felnőttkorban. Serdülőkorban mindegyik sportágra átlagosan a centrális alkattípus volt jellemző. Felnőttkorra azonban két irányba váltak el egymástól a sportágak; míg a vízilabdázókra (4,0-4,5-1,9) és a kézilabdázókra (4,2-3,9-2,4) a mezomorf-endomorf típus volt jellemző, addig a kosárlabdázók (4,4-2,5-3,4) és röplabdázók (4,4-3,6-2,7) továbbra is centrálishoz közeli alkattal rendelkeztek.</w:t>
      </w:r>
      <w:r>
        <w:rPr>
          <w:color w:val="000000"/>
          <w:sz w:val="24"/>
          <w:szCs w:val="24"/>
        </w:rPr>
        <w:br/>
        <w:t xml:space="preserve">A vizsgálat alapján megállapítható, hogy a négy labdajáték antropometriai profiljában csak néhány esetben találtunk jelentős eltérést. Úgy tűnik ezen sportágak profiljának teljes mértékű differenciálódása felnőttkorban sem valósul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72290">
    <w:multiLevelType w:val="hybridMultilevel"/>
    <w:lvl w:ilvl="0" w:tplc="96050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72290">
    <w:abstractNumId w:val="770722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41057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