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YOUSSEF EL OUADGHIRI</w:t>
            </w:r>
          </w:p>
          <w:p w:rsidR="00C275A3" w:rsidRDefault="00CA6B74" w:rsidP="00C275A3">
            <w:pPr>
              <w:pStyle w:val="Hallgatokepzes"/>
            </w:pPr>
            <w:r w:rsidRPr="001067CD">
              <w:rPr>
                <w:i/>
              </w:rPr>
              <w:t>elouadghiriyoussef20@gmail.com</w:t>
            </w:r>
            <w:r w:rsidRPr="001067CD">
              <w:rPr>
                <w:i/>
              </w:rPr>
              <w:br/>
            </w:r>
            <w:r w:rsidR="00A96AEC">
              <w:t>Labdarúgó edző</w:t>
            </w:r>
            <w:r w:rsidR="00A96AEC">
              <w:br/>
            </w:r>
            <w:r w:rsidR="00E77B23">
              <w:t>BA, 7. félév</w:t>
            </w:r>
          </w:p>
          <w:p w:rsidR="00C265CE" w:rsidRPr="009E5FF1" w:rsidRDefault="00E77B23" w:rsidP="00BA6BAF">
            <w:pPr>
              <w:pStyle w:val="Hallgatointezmeny-kar"/>
              <w:rPr>
                <w:b/>
                <w:caps/>
              </w:rPr>
            </w:pPr>
            <w:r>
              <w:t>Magyar Testnevelési és Sporttudományi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ifj. Dr. Tóth János</w:t>
            </w:r>
          </w:p>
          <w:p w:rsidR="00DB4822" w:rsidRDefault="00DB4822" w:rsidP="00BA6BAF">
            <w:pPr>
              <w:pStyle w:val="Konzulensektitulus"/>
            </w:pPr>
            <w:r w:rsidRPr="00DB4822">
              <w:t>egyetemi docens, TF</w:t>
            </w:r>
          </w:p>
        </w:tc>
      </w:tr>
      <w:tr w:rsidR="00DB4822" w:rsidTr="00DB4822">
        <w:tc>
          <w:tcPr>
            <w:tcW w:w="9854" w:type="dxa"/>
          </w:tcPr>
          <w:p w:rsidR="00DB4822" w:rsidRPr="00DB4822" w:rsidRDefault="00DB4822" w:rsidP="00BA6BAF">
            <w:pPr>
              <w:pStyle w:val="Konzulenseknev"/>
            </w:pPr>
            <w:r w:rsidRPr="00DB4822">
              <w:t>id. Dr. Tóth János</w:t>
            </w:r>
          </w:p>
          <w:p w:rsidR="00DB4822" w:rsidRDefault="00DB4822" w:rsidP="00BA6BAF">
            <w:pPr>
              <w:pStyle w:val="Konzulensektitulus"/>
            </w:pPr>
            <w:r w:rsidRPr="00DB4822">
              <w:t>egyetemi docens, 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Coaching Styles in FIFA World Cup (2018/2022)/Az edzői stílusok összehasonlító elemzése a FIFA világbajnokságon (2018/2022)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FIFA World Cup, Knockout Stages</w:t>
      </w:r>
      <w:r>
        <w:t xml:space="preserve"/>
      </w:r>
    </w:p>
    <w:p>
      <w:pPr>
        <w:widowControl w:val="on"/>
        <w:pBdr/>
        <w:spacing w:before="240" w:after="240" w:line="240" w:lineRule="auto"/>
        <w:ind w:left="0" w:right="0"/>
        <w:jc w:val="left"/>
      </w:pPr>
      <w:r>
        <w:rPr>
          <w:color w:val="000000"/>
          <w:sz w:val="24"/>
          <w:szCs w:val="24"/>
        </w:rPr>
        <w:t xml:space="preserve">Comparative Analysis of Coaching Styles in FIFA World Cup (2018/2022) and UEFA Euro (2020/2024)</w:t>
      </w:r>
      <w:r>
        <w:rPr>
          <w:color w:val="000000"/>
          <w:sz w:val="24"/>
          <w:szCs w:val="24"/>
        </w:rPr>
        <w:br/>
        <w:t xml:space="preserve">This research analyzes the coaching strategies and tactical approaches of teams in the 2018 and 2022 FIFA World Cups and the 2020 and 2024 UEFA European Championships. The aim is to compare the performance of European teams and teams from outside Europe, focusing on how different competition structures impact team success. In particular, the study examines the tactical adaptability, team cohesion, and resilience displayed by teams like Croatia, Morocco, and others. Despite not being considered traditional football powerhouses, Croatia’s journey to the 2018 World Cup final and Morocco’s historic run to the semi-finals in 2022 highlight the importance of strategic flexibility and mental resilience.</w:t>
      </w:r>
      <w:r>
        <w:rPr>
          <w:color w:val="000000"/>
          <w:sz w:val="24"/>
          <w:szCs w:val="24"/>
        </w:rPr>
        <w:br/>
        <w:t xml:space="preserve">The research methodology combines video analysis, statistical data, and qualitative/quantitative methods to assess team performances and uncover key differences between the approaches of European and non-European teams. Special attention is given to tactical discipline, the ability to adapt to unfamiliar opponents, and how these factors contributed to each team's success.</w:t>
      </w:r>
      <w:r>
        <w:rPr>
          <w:color w:val="000000"/>
          <w:sz w:val="24"/>
          <w:szCs w:val="24"/>
        </w:rPr>
        <w:br/>
        <w:t xml:space="preserve">Findings suggest that while Croatia and Morocco showcased exceptional resilience and tactical flexibility, their lack of squad depth became evident in the later stages of both tournaments. Fatigue and injuries ultimately impacted their performance, underscoring the importance of having a well-rounded squad in high-pressure tournaments like the World Cup and UEFA Euro. This analysis emphasizes that resilience, tactical adaptability, and teamwork are vital, but squad depth is crucial for sustaining success over an extended tournament.</w:t>
      </w:r>
      <w:r>
        <w:rPr>
          <w:color w:val="000000"/>
          <w:sz w:val="24"/>
          <w:szCs w:val="24"/>
        </w:rPr>
        <w:br/>
        <w:t xml:space="preserve">In conclusion, this study demonstrates the significant role of adaptability and cohesion in international football competitions, while highlighting the need for a deep and well-balanced squad to achieve long-term success.</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17921">
    <w:multiLevelType w:val="hybridMultilevel"/>
    <w:lvl w:ilvl="0" w:tplc="11713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17921">
    <w:abstractNumId w:val="17117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354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