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szaboobencee98@gmail.com</w:t>
            </w:r>
            <w:r w:rsidRPr="001067CD">
              <w:rPr>
                <w:i/>
              </w:rPr>
              <w:br/>
            </w:r>
            <w:r w:rsidR="00A96AEC">
              <w:t>Angol-testnevelő osztatlan tanári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Polcsik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Járt-e Adonisz edzőterembe?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Adonisz-komplexus, edzésfüggőség, izomdiszmorfia, testképzavar, edzőterem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modern edzőtermi kultúrával együtt megjelenő, és egyre terjedő, sok férfi számára komoly</w:t>
      </w:r>
      <w:r>
        <w:rPr>
          <w:color w:val="000000"/>
          <w:sz w:val="24"/>
          <w:szCs w:val="24"/>
        </w:rPr>
        <w:br/>
        <w:t xml:space="preserve">fizikai és pszichológiai terhet jelentő probléma az Adonisz-komplexus (AC), ami egy vélt</w:t>
      </w:r>
      <w:r>
        <w:rPr>
          <w:color w:val="000000"/>
          <w:sz w:val="24"/>
          <w:szCs w:val="24"/>
        </w:rPr>
        <w:br/>
        <w:t xml:space="preserve">szépség- és testideál utáni vágyakozás, illetve a túlzott mértékű hajszolása.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Célom egyrészt a hazánkban még nem adaptált Adonis-complex Questionnaire (ACQ) fordítása</w:t>
      </w:r>
      <w:r>
        <w:rPr>
          <w:color w:val="000000"/>
          <w:sz w:val="24"/>
          <w:szCs w:val="24"/>
        </w:rPr>
        <w:br/>
        <w:t xml:space="preserve">és reliabilitásának vizsgálata. Továbbá a rendszeresen edzőterembe járó felnőtt férfiak körében</w:t>
      </w:r>
      <w:r>
        <w:rPr>
          <w:color w:val="000000"/>
          <w:sz w:val="24"/>
          <w:szCs w:val="24"/>
        </w:rPr>
        <w:br/>
        <w:t xml:space="preserve">az AC az edzésfüggőség (EA) és az izomdiszmorfia (ID) prevalenciájának felmérése. Emellett</w:t>
      </w:r>
      <w:r>
        <w:rPr>
          <w:color w:val="000000"/>
          <w:sz w:val="24"/>
          <w:szCs w:val="24"/>
        </w:rPr>
        <w:br/>
        <w:t xml:space="preserve">célom volt az AC, az EA és az ID közötti kapcsolatok feltárása, illetve bizonyos edzőtermi</w:t>
      </w:r>
      <w:r>
        <w:rPr>
          <w:color w:val="000000"/>
          <w:sz w:val="24"/>
          <w:szCs w:val="24"/>
        </w:rPr>
        <w:br/>
        <w:t xml:space="preserve">szokások, mint korrelátumok megismerése</w:t>
      </w: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Az anonim vizsgálatban összesen 215 fő, 18 év feletti férfi válaszadó vett részt (életkor:</w:t>
      </w:r>
      <w:r>
        <w:rPr>
          <w:color w:val="000000"/>
          <w:sz w:val="24"/>
          <w:szCs w:val="24"/>
        </w:rPr>
        <w:br/>
        <w:t xml:space="preserve">29,76±10,76 év). Ebből a papír alapú ACQ teszt-reteszt vizsgálat során a kérdőívet 59 fő</w:t>
      </w:r>
      <w:r>
        <w:rPr>
          <w:color w:val="000000"/>
          <w:sz w:val="24"/>
          <w:szCs w:val="24"/>
        </w:rPr>
        <w:br/>
        <w:t xml:space="preserve">egyetemi hallgató töltötte ki, 2 alkalommal, 3 hét különbséggel. Az ACQ Cronbach-alfa</w:t>
      </w:r>
      <w:r>
        <w:rPr>
          <w:color w:val="000000"/>
          <w:sz w:val="24"/>
          <w:szCs w:val="24"/>
        </w:rPr>
        <w:br/>
        <w:t xml:space="preserve">értékének meghatározásához további 86 fő vízisportoló és 70 fő, akik rendszeresen edzenek</w:t>
      </w:r>
      <w:r>
        <w:rPr>
          <w:color w:val="000000"/>
          <w:sz w:val="24"/>
          <w:szCs w:val="24"/>
        </w:rPr>
        <w:br/>
        <w:t xml:space="preserve">edzőteremben, töltötte ki az online kérdőívet. Utóbbi 70 fő vett részt az AC-ra vonatkozó</w:t>
      </w:r>
      <w:r>
        <w:rPr>
          <w:color w:val="000000"/>
          <w:sz w:val="24"/>
          <w:szCs w:val="24"/>
        </w:rPr>
        <w:br/>
        <w:t xml:space="preserve">további vizsgálatokban. Az EA vizsgálata Exercise Addiction Inventory-val, az ID</w:t>
      </w:r>
      <w:r>
        <w:rPr>
          <w:color w:val="000000"/>
          <w:sz w:val="24"/>
          <w:szCs w:val="24"/>
        </w:rPr>
        <w:br/>
        <w:t xml:space="preserve">tanulmányozása Muscle Appearance Satisfaction Scale-lel történt.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tesztújrafelvételi reliabilitás vizsgálata és a Cronbach-alfa alapján az ACQ magyar</w:t>
      </w:r>
      <w:r>
        <w:rPr>
          <w:color w:val="000000"/>
          <w:sz w:val="24"/>
          <w:szCs w:val="24"/>
        </w:rPr>
        <w:br/>
        <w:t xml:space="preserve">változata az AC szűrésére alkalmas. Az eredmények arra utalnak, hogy a résztvevők közül a</w:t>
      </w:r>
      <w:r>
        <w:rPr>
          <w:color w:val="000000"/>
          <w:sz w:val="24"/>
          <w:szCs w:val="24"/>
        </w:rPr>
        <w:br/>
        <w:t xml:space="preserve">többség enyhe vagy közepes mértékű testkép elégedetlenséget, AC-t mutatott, míg kisebb</w:t>
      </w:r>
      <w:r>
        <w:rPr>
          <w:color w:val="000000"/>
          <w:sz w:val="24"/>
          <w:szCs w:val="24"/>
        </w:rPr>
        <w:br/>
        <w:t xml:space="preserve">hányaduknál súlyosabb tünetek is jelentkeztek. Az EA vizsgálata szerint a résztvevők jelentős</w:t>
      </w:r>
      <w:r>
        <w:rPr>
          <w:color w:val="000000"/>
          <w:sz w:val="24"/>
          <w:szCs w:val="24"/>
        </w:rPr>
        <w:br/>
        <w:t xml:space="preserve">része veszélyeztetett kategóriába esett, míg kisebb csoportjuk már kóros szinten függőnek</w:t>
      </w:r>
      <w:r>
        <w:rPr>
          <w:color w:val="000000"/>
          <w:sz w:val="24"/>
          <w:szCs w:val="24"/>
        </w:rPr>
        <w:br/>
        <w:t xml:space="preserve">minősült. A résztvevők nagyjából tizede ID-s. Az eredményekből kiderült továbbá, hogy az</w:t>
      </w:r>
      <w:r>
        <w:rPr>
          <w:color w:val="000000"/>
          <w:sz w:val="24"/>
          <w:szCs w:val="24"/>
        </w:rPr>
        <w:br/>
        <w:t xml:space="preserve">AC és az ID is pozitív kapcsolatban állnak az EA-val, de egymással nem korrelálnak. Az</w:t>
      </w:r>
      <w:r>
        <w:rPr>
          <w:color w:val="000000"/>
          <w:sz w:val="24"/>
          <w:szCs w:val="24"/>
        </w:rPr>
        <w:br/>
        <w:t xml:space="preserve">életkor és az edzések gyakorisága nem befolyásolja a vizsgált problémákat, az</w:t>
      </w:r>
      <w:r>
        <w:rPr>
          <w:color w:val="000000"/>
          <w:sz w:val="24"/>
          <w:szCs w:val="24"/>
        </w:rPr>
        <w:br/>
        <w:t xml:space="preserve">edzésterjedelem is csak az ID-vel áll kapcsolatban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Az ACQ magyar változata megbízható, adaptálásra, majd gyakorlati felhasználásra alkalmas</w:t>
      </w:r>
      <w:r>
        <w:rPr>
          <w:color w:val="000000"/>
          <w:sz w:val="24"/>
          <w:szCs w:val="24"/>
        </w:rPr>
        <w:br/>
        <w:t xml:space="preserve">eszköz. A vizsgált zavarok előfordulnak a hazai edzőterem-látogatók körében, néha együtt is</w:t>
      </w:r>
      <w:r>
        <w:rPr>
          <w:color w:val="000000"/>
          <w:sz w:val="24"/>
          <w:szCs w:val="24"/>
        </w:rPr>
        <w:br/>
        <w:t xml:space="preserve">jelentkeznek. Lényeges a megelőzésük, felismerésük, kezelésük, mert hosszabb távon a</w:t>
      </w:r>
      <w:r>
        <w:rPr>
          <w:color w:val="000000"/>
          <w:sz w:val="24"/>
          <w:szCs w:val="24"/>
        </w:rPr>
        <w:br/>
        <w:t xml:space="preserve">fizikai teljesítmény romlása mellett a komplex életminőség rovására is mehetnek.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11372">
    <w:multiLevelType w:val="hybridMultilevel"/>
    <w:lvl w:ilvl="0" w:tplc="67169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11372">
    <w:abstractNumId w:val="96911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188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