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PALLÓS  BENEDEK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beni.pallos@gmail.com</w:t>
            </w:r>
            <w:r w:rsidRPr="001067CD">
              <w:rPr>
                <w:i/>
              </w:rPr>
              <w:br/>
            </w:r>
            <w:r w:rsidR="00A96AEC">
              <w:t>Építészmérnöki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Halmos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tengeren is otthon - Az építészet megjelenése a nyugati hajókon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hajók; barokk; homlokzatok; díszítés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tárgya az évezredes fejlődésen keresztülment hajóépítés tanulmányozása</w:t>
      </w:r>
      <w:r>
        <w:rPr>
          <w:color w:val="000000"/>
          <w:sz w:val="24"/>
          <w:szCs w:val="24"/>
        </w:rPr>
        <w:br/>
        <w:t xml:space="preserve">olyan szempontból, mely a szárazföldi építészet elemeinek és gyakorlatainak megjelenését</w:t>
      </w:r>
      <w:r>
        <w:rPr>
          <w:color w:val="000000"/>
          <w:sz w:val="24"/>
          <w:szCs w:val="24"/>
        </w:rPr>
        <w:br/>
        <w:t xml:space="preserve">keresi. Röviden bemutatjuk e tendenciák ókori kezdeteit Egyiptomból és a görög-római</w:t>
      </w:r>
      <w:r>
        <w:rPr>
          <w:color w:val="000000"/>
          <w:sz w:val="24"/>
          <w:szCs w:val="24"/>
        </w:rPr>
        <w:br/>
        <w:t xml:space="preserve">kultúrkörből. Az antik mediterrán birodalmak bukása után a fonalat a nagy felfedezések</w:t>
      </w:r>
      <w:r>
        <w:rPr>
          <w:color w:val="000000"/>
          <w:sz w:val="24"/>
          <w:szCs w:val="24"/>
        </w:rPr>
        <w:br/>
        <w:t xml:space="preserve">korában vesszük fel ismét, mikor a nyugati kultúra újra elég erős lett ahhoz, hogy</w:t>
      </w:r>
      <w:r>
        <w:rPr>
          <w:color w:val="000000"/>
          <w:sz w:val="24"/>
          <w:szCs w:val="24"/>
        </w:rPr>
        <w:br/>
        <w:t xml:space="preserve">csatahajóikat a királyok fenségéhez méltóan díszítsék. E hajók építészetileg</w:t>
      </w:r>
      <w:r>
        <w:rPr>
          <w:color w:val="000000"/>
          <w:sz w:val="24"/>
          <w:szCs w:val="24"/>
        </w:rPr>
        <w:br/>
        <w:t xml:space="preserve">legmeghatározottabb része a tat, melynek alaposan megvizsgáljuk mintegy háromszáz éves</w:t>
      </w:r>
      <w:r>
        <w:rPr>
          <w:color w:val="000000"/>
          <w:sz w:val="24"/>
          <w:szCs w:val="24"/>
        </w:rPr>
        <w:br/>
        <w:t xml:space="preserve">szerves fejlődését a XVI. század közepétől a XIX. század közepéig. A leghatalmasabb</w:t>
      </w:r>
      <w:r>
        <w:rPr>
          <w:color w:val="000000"/>
          <w:sz w:val="24"/>
          <w:szCs w:val="24"/>
        </w:rPr>
        <w:br/>
        <w:t xml:space="preserve">tengerjáró népek mindegyike a magára jellemző ízléssel alakította e pompás szerkezeteket, és</w:t>
      </w:r>
      <w:r>
        <w:rPr>
          <w:color w:val="000000"/>
          <w:sz w:val="24"/>
          <w:szCs w:val="24"/>
        </w:rPr>
        <w:br/>
        <w:t xml:space="preserve">hirdették velük birodalmaik gazdagságát. A vitorlázás aranykorának nevezett korszak</w:t>
      </w:r>
      <w:r>
        <w:rPr>
          <w:color w:val="000000"/>
          <w:sz w:val="24"/>
          <w:szCs w:val="24"/>
        </w:rPr>
        <w:br/>
        <w:t xml:space="preserve">csúcspontját jelentő barokk kor szülte a legérdekesebb és legkülönlegesebb</w:t>
      </w:r>
      <w:r>
        <w:rPr>
          <w:color w:val="000000"/>
          <w:sz w:val="24"/>
          <w:szCs w:val="24"/>
        </w:rPr>
        <w:br/>
        <w:t xml:space="preserve">tatfelépítményeket, melyek díszességükben versenyre keltek az anyaország palotáival, és</w:t>
      </w:r>
      <w:r>
        <w:rPr>
          <w:color w:val="000000"/>
          <w:sz w:val="24"/>
          <w:szCs w:val="24"/>
        </w:rPr>
        <w:br/>
        <w:t xml:space="preserve">bírtak a korabeli építészet minden vívmányával: a kosárívektől a kanellúrázott és entázisolt</w:t>
      </w:r>
      <w:r>
        <w:rPr>
          <w:color w:val="000000"/>
          <w:sz w:val="24"/>
          <w:szCs w:val="24"/>
        </w:rPr>
        <w:br/>
        <w:t xml:space="preserve">nagyoszloprendeken át a hullámzó és álperspektív kialakításokig mindent meg lehet találni</w:t>
      </w:r>
      <w:r>
        <w:rPr>
          <w:color w:val="000000"/>
          <w:sz w:val="24"/>
          <w:szCs w:val="24"/>
        </w:rPr>
        <w:br/>
        <w:t xml:space="preserve">rajtuk. Ezeknek az elemeknek és formáknak keressük meg a használatuk magyarázatát, tárjuk</w:t>
      </w:r>
      <w:r>
        <w:rPr>
          <w:color w:val="000000"/>
          <w:sz w:val="24"/>
          <w:szCs w:val="24"/>
        </w:rPr>
        <w:br/>
        <w:t xml:space="preserve">fel eredetét. Az ipari forradalmak hatására azonban a díszítés mind szerényebb lett, a régi</w:t>
      </w:r>
      <w:r>
        <w:rPr>
          <w:color w:val="000000"/>
          <w:sz w:val="24"/>
          <w:szCs w:val="24"/>
        </w:rPr>
        <w:br/>
        <w:t xml:space="preserve">elemek lassan elkezdtek stilizálódni, mígnem csak jelképesen maradtak meg, vagy egészen el</w:t>
      </w:r>
      <w:r>
        <w:rPr>
          <w:color w:val="000000"/>
          <w:sz w:val="24"/>
          <w:szCs w:val="24"/>
        </w:rPr>
        <w:br/>
        <w:t xml:space="preserve">nem tűntek, ahogyan az iparosodott társadalmak előtti napoknak is végleg leáldozott. E</w:t>
      </w:r>
      <w:r>
        <w:rPr>
          <w:color w:val="000000"/>
          <w:sz w:val="24"/>
          <w:szCs w:val="24"/>
        </w:rPr>
        <w:br/>
        <w:t xml:space="preserve">társadalmi változás hatásait is taglaljuk, ami a polgárosodással együtt a pompát immár az új</w:t>
      </w:r>
      <w:r>
        <w:rPr>
          <w:color w:val="000000"/>
          <w:sz w:val="24"/>
          <w:szCs w:val="24"/>
        </w:rPr>
        <w:br/>
        <w:t xml:space="preserve">óceánjárók számára tartogatta, mielőtt e nagyszerű gépezetek a napjainkra pusztán a</w:t>
      </w:r>
      <w:r>
        <w:rPr>
          <w:color w:val="000000"/>
          <w:sz w:val="24"/>
          <w:szCs w:val="24"/>
        </w:rPr>
        <w:br/>
        <w:t xml:space="preserve">kényelem szolgáivá nem váltak.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6120000" cy="4896000"/>
            <wp:docPr id="13211304" name="name16784f5db7ec5b" descr="imgtmp_104996_hu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4996_hu_1.jpg"/>
                    <pic:cNvPicPr/>
                  </pic:nvPicPr>
                  <pic:blipFill>
                    <a:blip r:embed="rId16784f5db7ec1e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896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892698">
    <w:multiLevelType w:val="hybridMultilevel"/>
    <w:lvl w:ilvl="0" w:tplc="375504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892698">
    <w:abstractNumId w:val="7889269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6157949" Type="http://schemas.openxmlformats.org/officeDocument/2006/relationships/numbering" Target="numbering.xml"/><Relationship Id="rId16784f5db7ec1e" Type="http://schemas.openxmlformats.org/officeDocument/2006/relationships/image" Target="media/imgrId16784f5db7ec1e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