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BÁNSZEGI BÍBORKA</w:t>
            </w:r>
          </w:p>
          <w:p w:rsidR="00C275A3" w:rsidRDefault="00CA6B74" w:rsidP="00C275A3">
            <w:pPr>
              <w:pStyle w:val="Hallgatokepzes"/>
            </w:pPr>
            <w:r w:rsidRPr="001067CD">
              <w:rPr>
                <w:i/>
              </w:rPr>
              <w:t>banszegibiborka@gmail.com</w:t>
            </w:r>
            <w:r w:rsidRPr="001067CD">
              <w:rPr>
                <w:i/>
              </w:rPr>
              <w:br/>
            </w:r>
            <w:r w:rsidR="00A96AEC">
              <w:t>Építészmérnök </w:t>
            </w:r>
            <w:r w:rsidR="00A96AEC">
              <w:br/>
            </w:r>
            <w:r w:rsidR="00E77B23">
              <w:t>Osztatlan, 2.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Weiszkopf András</w:t>
            </w:r>
          </w:p>
          <w:p w:rsidR="00DB4822" w:rsidRDefault="00DB4822" w:rsidP="00BA6BAF">
            <w:pPr>
              <w:pStyle w:val="Konzulensektitulus"/>
            </w:pPr>
            <w:r w:rsidRPr="00DB4822">
              <w:t>tanársegéd,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Vita az építészetről – a magyarországi építészeti vitákról és vitakultúráról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építészet, politika, Nagy építészeti vita, Tulipános vita, Nemzeti Színház vita</w:t>
      </w:r>
      <w:r>
        <w:t xml:space="preserve"/>
      </w:r>
    </w:p>
    <w:p>
      <w:pPr>
        <w:widowControl w:val="on"/>
        <w:pBdr/>
        <w:spacing w:before="240" w:after="240" w:line="240" w:lineRule="auto"/>
        <w:ind w:left="0" w:right="0"/>
        <w:jc w:val="left"/>
      </w:pPr>
      <w:r>
        <w:rPr>
          <w:color w:val="000000"/>
          <w:sz w:val="24"/>
          <w:szCs w:val="24"/>
        </w:rPr>
        <w:t xml:space="preserve">A dolgozat témája a magyarországi építészeti viták és vitakultúra.</w:t>
      </w:r>
    </w:p>
    <w:p>
      <w:pPr>
        <w:widowControl w:val="on"/>
        <w:pBdr/>
        <w:spacing w:before="240" w:after="240" w:line="240" w:lineRule="auto"/>
        <w:ind w:left="0" w:right="0"/>
        <w:jc w:val="left"/>
      </w:pPr>
      <w:r>
        <w:rPr>
          <w:color w:val="000000"/>
          <w:sz w:val="24"/>
          <w:szCs w:val="24"/>
        </w:rPr>
        <w:t xml:space="preserve">A téma indokoltságát a napjainkban megvalósuló kerekasztalbeszélgetések, nyílt levelek és vitacikkdossziék hatás nélkül maradása adja.</w:t>
      </w:r>
    </w:p>
    <w:p>
      <w:pPr>
        <w:widowControl w:val="on"/>
        <w:pBdr/>
        <w:spacing w:before="240" w:after="240" w:line="240" w:lineRule="auto"/>
        <w:ind w:left="0" w:right="0"/>
        <w:jc w:val="left"/>
      </w:pPr>
      <w:r>
        <w:rPr>
          <w:color w:val="000000"/>
          <w:sz w:val="24"/>
          <w:szCs w:val="24"/>
        </w:rPr>
        <w:t xml:space="preserve">A dolgozat célja, hogy átfogó képet adjon a magyar építészeti vitakultúráról, három kiemelt vita elemzése és összehasonlítása által.</w:t>
      </w:r>
    </w:p>
    <w:p>
      <w:pPr>
        <w:widowControl w:val="on"/>
        <w:pBdr/>
        <w:spacing w:before="240" w:after="240" w:line="240" w:lineRule="auto"/>
        <w:ind w:left="0" w:right="0"/>
        <w:jc w:val="left"/>
      </w:pPr>
      <w:r>
        <w:rPr>
          <w:color w:val="000000"/>
          <w:sz w:val="24"/>
          <w:szCs w:val="24"/>
        </w:rPr>
        <w:t xml:space="preserve">A dolgozatban szeretném bemutatni az adott vitákat generáló építészeti kérdéseket, figyelembe véve a korszak építészeti és politikai adottságait és sajátosságait, valamint közös szempontrendszer szerinti elemzésük által megítélni a viták minőségét és eredményességét.</w:t>
      </w:r>
    </w:p>
    <w:p>
      <w:pPr>
        <w:widowControl w:val="on"/>
        <w:pBdr/>
        <w:spacing w:before="240" w:after="240" w:line="240" w:lineRule="auto"/>
        <w:ind w:left="0" w:right="0"/>
        <w:jc w:val="left"/>
      </w:pPr>
      <w:r>
        <w:rPr>
          <w:color w:val="000000"/>
          <w:sz w:val="24"/>
          <w:szCs w:val="24"/>
        </w:rPr>
        <w:t xml:space="preserve">Kiemelt és elemzett példáim a dolgozatban: az 1951-ben lezajlott úgynevezett “Nagy építészeti vita”, az 1975-ben az Élet és Irodalom és Magyar Építőművészet folyóiratokban zajló “tulipános” vita, valamint az ezredforduló előtti utolsó és végül megvalósuló Nemzeti Színház pályázat és épület kapcsán kialakult, többek között az Építészfórumon kibontakozó, majd a Bercsényi Építész Szakkollégium által szervezett nyilvános vita, a Nemzeti Színház kapcsán felmerült építészeti, etikai kérdésekről.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86067">
    <w:multiLevelType w:val="hybridMultilevel"/>
    <w:lvl w:ilvl="0" w:tplc="61973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86067">
    <w:abstractNumId w:val="955860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82400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