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ferenczeszterr@gmail.com</w:t>
            </w:r>
            <w:r w:rsidRPr="001067CD">
              <w:rPr>
                <w:i/>
              </w:rPr>
              <w:br/>
            </w:r>
            <w:r w:rsidR="00A96AEC">
              <w:t>Építészmérnöki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Domokos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Aptychusok szerkezetének geometriai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aptychus, mezozoikum, Bouligand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mezozoikumban kialakult kőzetek nagy mennyiségű őslényfosszília maradványát</w:t>
      </w:r>
      <w:r>
        <w:rPr>
          <w:color w:val="000000"/>
          <w:sz w:val="24"/>
          <w:szCs w:val="24"/>
        </w:rPr>
        <w:br/>
        <w:t xml:space="preserve">őrizték meg. Jelentős csoportját képezik ezeknek a maradványoknak a meszes szerkezetű</w:t>
      </w:r>
      <w:r>
        <w:rPr>
          <w:color w:val="000000"/>
          <w:sz w:val="24"/>
          <w:szCs w:val="24"/>
        </w:rPr>
        <w:br/>
        <w:t xml:space="preserve">aptychusok. Az aptychusok feltehetőleg a mezozoikumban élt puhatestű vázas élőlények, az</w:t>
      </w:r>
      <w:r>
        <w:rPr>
          <w:color w:val="000000"/>
          <w:sz w:val="24"/>
          <w:szCs w:val="24"/>
        </w:rPr>
        <w:br/>
        <w:t xml:space="preserve">ammoniteszek szájszervi részéhez tartoztak [1].</w:t>
      </w:r>
      <w:r>
        <w:rPr>
          <w:color w:val="000000"/>
          <w:sz w:val="24"/>
          <w:szCs w:val="24"/>
        </w:rPr>
        <w:br/>
        <w:t xml:space="preserve">Az aptychusok számos esetben mechanikailag sokkal ellenállóbbnak bizonyultak az</w:t>
      </w:r>
      <w:r>
        <w:rPr>
          <w:color w:val="000000"/>
          <w:sz w:val="24"/>
          <w:szCs w:val="24"/>
        </w:rPr>
        <w:br/>
        <w:t xml:space="preserve">ammonitesz-házaknál, így azoknál jobb állapotban tudtak fennmaradni. Felmerül a kérdés,</w:t>
      </w:r>
      <w:r>
        <w:rPr>
          <w:color w:val="000000"/>
          <w:sz w:val="24"/>
          <w:szCs w:val="24"/>
        </w:rPr>
        <w:br/>
        <w:t xml:space="preserve">hogy a törékeny kalcit kristályokból hogyan jöhetett létre ilyen nagy szilárdsággal rendelkező</w:t>
      </w:r>
      <w:r>
        <w:rPr>
          <w:color w:val="000000"/>
          <w:sz w:val="24"/>
          <w:szCs w:val="24"/>
        </w:rPr>
        <w:br/>
        <w:t xml:space="preserve">anyag. Feltételeztük, hogy a megoldás a szövetek geometriai felépítésében rejlik, erre</w:t>
      </w:r>
      <w:r>
        <w:rPr>
          <w:color w:val="000000"/>
          <w:sz w:val="24"/>
          <w:szCs w:val="24"/>
        </w:rPr>
        <w:br/>
        <w:t xml:space="preserve">kerestük a választ munkánk során.</w:t>
      </w:r>
      <w:r>
        <w:rPr>
          <w:color w:val="000000"/>
          <w:sz w:val="24"/>
          <w:szCs w:val="24"/>
        </w:rPr>
        <w:br/>
        <w:t xml:space="preserve">Egy Laevaptychus maradvány metszetét vizsgáltuk. Első lépésként az aptychus</w:t>
      </w:r>
      <w:r>
        <w:rPr>
          <w:color w:val="000000"/>
          <w:sz w:val="24"/>
          <w:szCs w:val="24"/>
        </w:rPr>
        <w:br/>
        <w:t xml:space="preserve">metszetében megjelenő szöveti mintázatot konvex mozaikként értelmeztük. Hipotézisünk</w:t>
      </w:r>
      <w:r>
        <w:rPr>
          <w:color w:val="000000"/>
          <w:sz w:val="24"/>
          <w:szCs w:val="24"/>
        </w:rPr>
        <w:br/>
        <w:t xml:space="preserve">szerint, a metszet vázát képező mozaik geometriai tulajdonságai magyarázatot adhatnak az</w:t>
      </w:r>
      <w:r>
        <w:rPr>
          <w:color w:val="000000"/>
          <w:sz w:val="24"/>
          <w:szCs w:val="24"/>
        </w:rPr>
        <w:br/>
        <w:t xml:space="preserve">aptychus szerkezeti erősségére, melynek igazolásához a [2], [3] munkákban bemutatott</w:t>
      </w:r>
      <w:r>
        <w:rPr>
          <w:color w:val="000000"/>
          <w:sz w:val="24"/>
          <w:szCs w:val="24"/>
        </w:rPr>
        <w:br/>
        <w:t xml:space="preserve">konvex mozaikok elméletét használtuk.</w:t>
      </w:r>
      <w:r>
        <w:rPr>
          <w:color w:val="000000"/>
          <w:sz w:val="24"/>
          <w:szCs w:val="24"/>
        </w:rPr>
        <w:br/>
        <w:t xml:space="preserve">Vizsgálatunk második szakaszában azt a sejtést fogalmaztuk meg, hogy az aptychus</w:t>
      </w:r>
      <w:r>
        <w:rPr>
          <w:color w:val="000000"/>
          <w:sz w:val="24"/>
          <w:szCs w:val="24"/>
        </w:rPr>
        <w:br/>
        <w:t xml:space="preserve">metszetben kirajzolódó síkbeli mozaik geometriájából a szerkezet térbeli felépítésére is</w:t>
      </w:r>
      <w:r>
        <w:rPr>
          <w:color w:val="000000"/>
          <w:sz w:val="24"/>
          <w:szCs w:val="24"/>
        </w:rPr>
        <w:br/>
        <w:t xml:space="preserve">következtethetünk. Feltételezésünk szerint, az elemzett metszet tulajdonságai a Bouligand</w:t>
      </w:r>
      <w:r>
        <w:rPr>
          <w:color w:val="000000"/>
          <w:sz w:val="24"/>
          <w:szCs w:val="24"/>
        </w:rPr>
        <w:br/>
        <w:t xml:space="preserve">szerkezethez hasonlóak. Az ilyen típusú geometriai elrendezés jelentősen megnöveli az anyag</w:t>
      </w:r>
      <w:r>
        <w:rPr>
          <w:color w:val="000000"/>
          <w:sz w:val="24"/>
          <w:szCs w:val="24"/>
        </w:rPr>
        <w:br/>
        <w:t xml:space="preserve">mechanikai ellenálló képességét és izotróp viselkedést biztosít a repedésekkel szemben.</w:t>
      </w:r>
      <w:r>
        <w:rPr>
          <w:color w:val="000000"/>
          <w:sz w:val="24"/>
          <w:szCs w:val="24"/>
        </w:rPr>
        <w:br/>
        <w:t xml:space="preserve">A feltevés igazolásához az aptychus metszeten azonosítottuk és jelőltük a „ T”, illetve</w:t>
      </w:r>
      <w:r>
        <w:rPr>
          <w:color w:val="000000"/>
          <w:sz w:val="24"/>
          <w:szCs w:val="24"/>
        </w:rPr>
        <w:br/>
        <w:t xml:space="preserve">„X,Y” típusú csomópontokat. Bouligand szerkezet esetén várható, hogy a „T” csomópontok</w:t>
      </w:r>
      <w:r>
        <w:rPr>
          <w:color w:val="000000"/>
          <w:sz w:val="24"/>
          <w:szCs w:val="24"/>
        </w:rPr>
        <w:br/>
        <w:t xml:space="preserve">relatív gyakorisága erőssen fluktuálni fog. Az aptychus szöveten mért adatokat összevetettük</w:t>
      </w:r>
      <w:r>
        <w:rPr>
          <w:color w:val="000000"/>
          <w:sz w:val="24"/>
          <w:szCs w:val="24"/>
        </w:rPr>
        <w:br/>
        <w:t xml:space="preserve">egy Poisson folyamat által generált véletlen ponthalmazon és egy szabályos Bouligand</w:t>
      </w:r>
      <w:r>
        <w:rPr>
          <w:color w:val="000000"/>
          <w:sz w:val="24"/>
          <w:szCs w:val="24"/>
        </w:rPr>
        <w:br/>
        <w:t xml:space="preserve">szerkezet metszetén mért adatokkal. Az eredmények azt mutatták, hogy a kisérleti metszet</w:t>
      </w:r>
      <w:r>
        <w:rPr>
          <w:color w:val="000000"/>
          <w:sz w:val="24"/>
          <w:szCs w:val="24"/>
        </w:rPr>
        <w:br/>
        <w:t xml:space="preserve">adataiban megfigyelhető fluktuáció nem a véletlennek köszönhető, hanem a szerkezet</w:t>
      </w:r>
      <w:r>
        <w:rPr>
          <w:color w:val="000000"/>
          <w:sz w:val="24"/>
          <w:szCs w:val="24"/>
        </w:rPr>
        <w:br/>
        <w:t xml:space="preserve">geometriájának terméke.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88623">
    <w:multiLevelType w:val="hybridMultilevel"/>
    <w:lvl w:ilvl="0" w:tplc="42992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88623">
    <w:abstractNumId w:val="96888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390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