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IFJ. JACA GREGORIO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gregorio.jaca@gmail.com</w:t>
            </w:r>
            <w:r w:rsidRPr="001067CD">
              <w:rPr>
                <w:i/>
              </w:rPr>
              <w:br/>
            </w:r>
            <w:r w:rsidR="00A96AEC">
              <w:t>Bsc. 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Részecske méret változás mérése áramló folyadékokban / The size evolution of pebbles in a particle-fluid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szemcsés anyagok; kavics kopás; szemcse-folyadék szimuláció; ütközési kernel; folyadékdinamika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Kavicsok alakjának és méretének változására már régóta vannak elméletek (Sternberg 1875, Bloore 1977, Domokos 2012, Sipos 2021). Ezen modellek általános egyenleteket adnak a szemcsék méret, illetve alakváltozására a kopás során. Mindegyik modellhez szükséges egy úgynevezett ütközési kernel, ami megmondja, hogy milyen típusú kavics milyen gyakorisággal ütközik a többiekkel. Smolichowski már 1917-ben (Smoluchowski 1917) leírta az egymással ütköző szemcsék méretfüggő átlagos hatáskeresztmetszetét, azonban ez csak bizonyos körülmények között, leginkább két dimenzióban és vákumban, szűk méreteloszlás esetén működik. A kavicsok kopása azonban nagyrészt vizes közegben történik különböző áramlási helyzetekben. Ilyen környezetben eddig még alig történt kísérleti, illetve szimulációs munka.</w:t>
      </w:r>
      <w:r>
        <w:rPr>
          <w:color w:val="000000"/>
          <w:sz w:val="24"/>
          <w:szCs w:val="24"/>
        </w:rPr>
        <w:br/>
        <w:t xml:space="preserve">Ebben a munkában az a célunk, hogy áramló folyadékban megmérjük az ütközési kerneleket, amiket majd kopási modellek bemeneteként használva az eredményeket össze tudjuk hasonlítani a megfigyelésekkel. Ehhez egy CFDEM (Goniva 2012) szimulációs kódot használtunk, amiben felépítettünk egy nyíró áramlást, amiben részecskék úszhattak. Egy általunk írt algoritmus segítségével megmértük a szemcsék ütközési statisztikáját, és meghatároztuk az ütközési mátrixokat. Ezek a mátrixokat felhasználva meghatároztunk különböző lehetséges forgatókönyveket a méreteloszlások dinamikájára.</w:t>
      </w:r>
      <w:r>
        <w:rPr>
          <w:color w:val="000000"/>
          <w:sz w:val="24"/>
          <w:szCs w:val="24"/>
        </w:rPr>
        <w:br/>
        <w:t xml:space="preserve">* Sternberg, H. Z. Bauwes., 25, 486-506, (1875).</w:t>
      </w:r>
      <w:r>
        <w:rPr>
          <w:color w:val="000000"/>
          <w:sz w:val="24"/>
          <w:szCs w:val="24"/>
        </w:rPr>
        <w:br/>
        <w:t xml:space="preserve">* Bloore, F. J, Math. Geol., 9, 113-122, (1977).</w:t>
      </w:r>
      <w:r>
        <w:rPr>
          <w:color w:val="000000"/>
          <w:sz w:val="24"/>
          <w:szCs w:val="24"/>
        </w:rPr>
        <w:br/>
        <w:t xml:space="preserve">* Domokos, G. and Gibbons, G. W.:P. Roy. Soc. A, 468, 3059-3079, (2012).</w:t>
      </w:r>
      <w:r>
        <w:rPr>
          <w:color w:val="000000"/>
          <w:sz w:val="24"/>
          <w:szCs w:val="24"/>
        </w:rPr>
        <w:br/>
        <w:t xml:space="preserve">* Sipos, András A., Gábor Domokos, and János Török. Earth Surface Dynamics 9, no. 2 235-251 (2021).</w:t>
      </w:r>
      <w:r>
        <w:rPr>
          <w:color w:val="000000"/>
          <w:sz w:val="24"/>
          <w:szCs w:val="24"/>
        </w:rPr>
        <w:br/>
        <w:t xml:space="preserve">* Marian von Smoluchowski, Zeitschrift fuer physikalische Chemie (Leipzig) 92, 129-168 (1917).</w:t>
      </w:r>
      <w:r>
        <w:rPr>
          <w:color w:val="000000"/>
          <w:sz w:val="24"/>
          <w:szCs w:val="24"/>
        </w:rPr>
        <w:br/>
        <w:t xml:space="preserve">* Goniva, C., Kloss, C., Deen, N.G., Kuipers, J.A.M. and Pirker, S. (2012): Particuology, DOI 10.1016/j.partic.2012.05.002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02968">
    <w:multiLevelType w:val="hybridMultilevel"/>
    <w:lvl w:ilvl="0" w:tplc="10694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02968">
    <w:abstractNumId w:val="11002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422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