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SAJTI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sajtijan@gmail.com</w:t>
            </w:r>
            <w:r w:rsidRPr="001067CD">
              <w:rPr>
                <w:i/>
              </w:rPr>
              <w:br/>
            </w:r>
            <w:r w:rsidR="00A96AEC">
              <w:t>Szerkezet-építőmérnöki mesterképzési szak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Jáger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 THE INTEGRATED SHEAR STRENGTH OF CORRUGATED WEB COMPOSITE GIRDERS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hybrid girder; corrugated web; integrated shear strength; bending moment strength; bending-shear interaction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acél trapézlemezeket számos kedvező tulajdonságuk miatt használják az magas- és hídépítésben. Az magasépítésben acél övekkel, a hídépítésben azonban beton felső és acél vagy beton alsó szegélyekkel együtt alkalmazzák. A konzervatív nemzetközi tervezési gyakorlat a jelenlegi nemzetközi szakirodalom és szabványok ajánlásait követi, miszerint a teljes keresztmetszet nyírószilárdsága, a trapézlemez-gerinc nyírószilárdságával vehető figyelembe. Tiszta acélszerkezetek esetében ennek a feltételezésnek a megfelelőségét normál szilárdságú acélra igazolták. A szakirodalomban kevés a kutatás a vasbeton övekkel kombinált acél trapézlemezzel kapcsolatban, és nincs elfogadott tervezési módszer. Ezt a szerkezeti elrendezést a nemzetközi szakirodalom terminológiája szerint „hibrid” szerkezetnek nevezik.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korábbi kísérleti és fejlett FE-modell alapú vizsgálatok kimutatták, hogy a beton övek hozzájárulása jelentős a kezdeti nyírási merevséghez, a teljes keresztmetszet nyírási szilárdságához, a hullámlemez nyírási csavarodási módjához és a kritikus állapot utáni viselkedéshez. A tanulmány célja a hibrid gerendák nyírási viselkedésének megértése. A kutatás során analitikus és numerikus elemzéseket végzek, és az eredményeket összehasonlítom a Budapesti Műszaki és Gazdaságtudományi Egyetemen végzett korábbi valós méretű kísérleti vizsgálati eredményekkel. Ennek eredményeként bemutatom a beton övek hozzájárulását a hibridgerenda kezdeti merevségéhez, nyírószilárdságához és a kritikus állapot utáni viselkedéséhez.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70307">
    <w:multiLevelType w:val="hybridMultilevel"/>
    <w:lvl w:ilvl="0" w:tplc="48067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70307">
    <w:abstractNumId w:val="641703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831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