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NABURUK VICTORIA CHEROTICH</w:t>
            </w:r>
          </w:p>
          <w:p w:rsidR="00C275A3" w:rsidRDefault="00CA6B74" w:rsidP="00C275A3">
            <w:pPr>
              <w:pStyle w:val="Hallgatokepzes"/>
            </w:pPr>
            <w:r w:rsidRPr="001067CD">
              <w:rPr>
                <w:i/>
              </w:rPr>
              <w:t>vnaburuk@edubme.hu</w:t>
            </w:r>
            <w:r w:rsidRPr="001067CD">
              <w:rPr>
                <w:i/>
              </w:rPr>
              <w:br/>
            </w:r>
            <w:r w:rsidR="00A96AEC">
              <w:t>Student</w:t>
            </w:r>
            <w:r w:rsidR="00A96AEC">
              <w:br/>
            </w:r>
            <w:r w:rsidR="00E77B23">
              <w:t>BSc, 7. félév</w:t>
            </w:r>
          </w:p>
          <w:p w:rsidR="00C265CE" w:rsidRPr="009E5FF1" w:rsidRDefault="00E77B23" w:rsidP="00BA6BAF">
            <w:pPr>
              <w:pStyle w:val="Hallgatointezmeny-kar"/>
              <w:rPr>
                <w:b/>
                <w:caps/>
              </w:rPr>
            </w:pPr>
            <w:r>
              <w:t>Budapesti Műszaki és Gazdaságtudományi Egyetem</w:t>
            </w:r>
            <w:r w:rsidR="00C275A3">
              <w:br/>
            </w:r>
            <w:r w:rsidR="00DB4822">
              <w:t>Építőmérnöki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Hegyi Péter</w:t>
            </w:r>
          </w:p>
          <w:p w:rsidR="00DB4822" w:rsidRDefault="00DB4822" w:rsidP="00BA6BAF">
            <w:pPr>
              <w:pStyle w:val="Konzulensektitulus"/>
            </w:pPr>
            <w:r w:rsidRPr="00DB4822">
              <w:t>adjunktus, BME ÉMK</w:t>
            </w:r>
          </w:p>
        </w:tc>
      </w:tr>
      <w:tr w:rsidR="00DB4822" w:rsidTr="00DB4822">
        <w:tc>
          <w:tcPr>
            <w:tcW w:w="9854" w:type="dxa"/>
          </w:tcPr>
          <w:p w:rsidR="00DB4822" w:rsidRPr="00DB4822" w:rsidRDefault="00DB4822" w:rsidP="00BA6BAF">
            <w:pPr>
              <w:pStyle w:val="Konzulenseknev"/>
            </w:pPr>
            <w:r w:rsidRPr="00DB4822">
              <w:t>Király Krisztián</w:t>
            </w:r>
          </w:p>
          <w:p w:rsidR="00DB4822" w:rsidRDefault="00DB4822" w:rsidP="00BA6BAF">
            <w:pPr>
              <w:pStyle w:val="Konzulensektitulus"/>
            </w:pPr>
            <w:r w:rsidRPr="00DB4822">
              <w:t>doktorandusz, BME ÉMK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Anyagbankokból származó újrafelhasználható szerkezeti elemek optimalizálása a fenntartható épületépítés érdekében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SUSTAINABILITY; CIRCULAR ECONOMY; REUSABILITY;MATERIAL BANK;STRUCTURAL DESIGN</w:t>
      </w:r>
      <w:r>
        <w:t xml:space="preserve"/>
      </w:r>
    </w:p>
    <w:p>
      <w:pPr>
        <w:widowControl w:val="on"/>
        <w:pBdr/>
        <w:spacing w:before="240" w:after="240" w:line="240" w:lineRule="auto"/>
        <w:ind w:left="0" w:right="0"/>
        <w:jc w:val="left"/>
      </w:pPr>
      <w:r>
        <w:rPr>
          <w:color w:val="000000"/>
          <w:sz w:val="24"/>
          <w:szCs w:val="24"/>
        </w:rPr>
        <w:t xml:space="preserve">Optimisation, sustainability, and reusability in the construction industry are becoming more important in attaining a circular economy. The construction industry has a high potential to reduce material and energy consumption, accounting for 39% of carbon emissions, with 11% from material production and construction. Reusing structural components from deconstructed buildings preserves embedded energy and is more efficient than recycling, which requires high energy and material investment. However, to realise a circular economy, well-organised material banks are essential. The study aims to create an algorithm using Grasshopper-Rhino to optimise the reuse of structural components from deconstructed buildings. The program takes input from a theoretical material bank that provides parameters such as geometry, cross-section sizes, and material grade to limit waste, minimise cutting, and reduce the use of new materials. Basic structural design calculations that comply with the Eurocode standards will be integrated, and the algorithm's applicability will be demonstrated by the design of a simple frame structure. Another aim of the study is to present a detailed literature overview of the circular economy extended by case studies and the role of material banks in reuse. It highlights how reusing components can reduce consumption while meeting structural criteria such as stiffness and resistance in both the Ultimate Limit State and Serviceability Limit State, using widely accepted construction technologies.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488848">
    <w:multiLevelType w:val="hybridMultilevel"/>
    <w:lvl w:ilvl="0" w:tplc="318685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488848">
    <w:abstractNumId w:val="294888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31707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