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ZSIGRAI</w:t>
            </w:r>
          </w:p>
          <w:p w:rsidR="00C275A3" w:rsidRDefault="00CA6B74" w:rsidP="00C275A3">
            <w:pPr>
              <w:pStyle w:val="Hallgatokepzes"/>
            </w:pPr>
            <w:r w:rsidRPr="001067CD">
              <w:rPr>
                <w:i/>
              </w:rPr>
              <w:t>zsigraihanna2002@gmail.com</w:t>
            </w:r>
            <w:r w:rsidRPr="001067CD">
              <w:rPr>
                <w:i/>
              </w:rPr>
              <w:br/>
            </w:r>
            <w:r w:rsidR="00A96AEC">
              <w:t>Finance and Accounting</w:t>
            </w:r>
            <w:r w:rsidR="00A96AEC">
              <w:br/>
            </w:r>
            <w:r w:rsidR="00E77B23">
              <w:t>BSc, 5. semester</w:t>
            </w:r>
          </w:p>
          <w:p w:rsidR="00C265CE" w:rsidRPr="009E5FF1" w:rsidRDefault="00E77B23" w:rsidP="00BA6BAF">
            <w:pPr>
              <w:pStyle w:val="Hallgatointezmeny-kar"/>
              <w:rPr>
                <w:b/>
                <w:caps/>
              </w:rPr>
            </w:pPr>
            <w:r>
              <w:t>University of Sopron</w:t>
            </w:r>
            <w:r w:rsidR="00C275A3">
              <w:br/>
            </w:r>
            <w:r w:rsidR="00DB4822">
              <w:t>Alexandre Lamfalussy 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Aranka Baranyi PhD</w:t>
            </w:r>
          </w:p>
          <w:p w:rsidR="00DB4822" w:rsidRDefault="00DB4822" w:rsidP="00BA6BAF">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financial and environmental awareness in creating demand for green financial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 financial products; awareness; demand</w:t>
      </w:r>
      <w:r>
        <w:t xml:space="preserve"/>
      </w:r>
    </w:p>
    <w:p>
      <w:pPr>
        <w:widowControl w:val="on"/>
        <w:pBdr/>
        <w:spacing w:before="240" w:after="240" w:line="240" w:lineRule="auto"/>
        <w:ind w:left="0" w:right="0"/>
        <w:jc w:val="left"/>
      </w:pPr>
      <w:r>
        <w:rPr>
          <w:color w:val="000000"/>
          <w:sz w:val="24"/>
          <w:szCs w:val="24"/>
        </w:rPr>
        <w:t xml:space="preserve">Today, the growing importance of green aspirations has also increased the role of financial institutions in the field of environmental protection and led to the introduction of green financial solutions in the market. Although sustainability is playing an increasingly important role in our consumption habits, the uptake of green financial products is still low among the population. In doing so, my aim is to identify the factors and preferences that can influence the public's demand for green financial products, and to enable the widespread and appropriate use of these solutions.</w:t>
      </w:r>
    </w:p>
    <w:p>
      <w:pPr>
        <w:widowControl w:val="on"/>
        <w:pBdr/>
        <w:spacing w:before="240" w:after="240" w:line="240" w:lineRule="auto"/>
        <w:ind w:left="0" w:right="0"/>
        <w:jc w:val="left"/>
      </w:pPr>
      <w:r>
        <w:rPr>
          <w:color w:val="000000"/>
          <w:sz w:val="24"/>
          <w:szCs w:val="24"/>
        </w:rPr>
        <w:t xml:space="preserve">In the first part of my thesis, I provide a comprehensive overview of the theoretical approaches and current results of financial and environmental awareness, followed by a definition of green financial solutions and market trends. Following a review of previous secondary research, I conducted a quantitative questionnaire survey, the results of which were evaluated using the SPSS program. My analytical methodology included descriptive statistical and cross-tabulation analyses, analysis of variance, and grouping of survey respondents through factor and cluster analysis.</w:t>
      </w:r>
    </w:p>
    <w:p>
      <w:pPr>
        <w:widowControl w:val="on"/>
        <w:pBdr/>
        <w:spacing w:before="240" w:after="240" w:line="240" w:lineRule="auto"/>
        <w:ind w:left="0" w:right="0"/>
        <w:jc w:val="left"/>
      </w:pPr>
      <w:r>
        <w:rPr>
          <w:color w:val="000000"/>
          <w:sz w:val="24"/>
          <w:szCs w:val="24"/>
        </w:rPr>
        <w:t xml:space="preserve">The results of my survey show that the majority of respondents have a lack of knowledge about green financial solutions and the use of green financial products is less widespread, so it is a timely and relevant task to make suggestions to increase demand. However, this requires taking into account a number of factors, which my research has confirmed. Attitudes towards financial and environmental awareness have been shown to influence the motivational factors for green financial products, so that financially aware individuals are more motivated by financial benefits, while environmentally aware people are more motivated by the possibility of protecting the environment. In addition, demographic factors, in particular educational attainment and generational background, should also be taken into account when designing motivational factors.</w:t>
      </w:r>
    </w:p>
    <w:p>
      <w:pPr>
        <w:widowControl w:val="on"/>
        <w:pBdr/>
        <w:spacing w:before="240" w:after="240" w:line="240" w:lineRule="auto"/>
        <w:ind w:left="0" w:right="0"/>
        <w:jc w:val="left"/>
      </w:pPr>
      <w:r>
        <w:rPr>
          <w:color w:val="000000"/>
          <w:sz w:val="24"/>
          <w:szCs w:val="24"/>
        </w:rPr>
        <w:t xml:space="preserve">Overall, my research comprehensively explores the attitudes and level of financial and environmental awareness among my respondents, highlighting their impact on green financial demand, and highlights that financial and environmental education and the extension of government engagement are essential for the uptake of green financial solutions among the public.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0813">
    <w:multiLevelType w:val="hybridMultilevel"/>
    <w:lvl w:ilvl="0" w:tplc="25834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60813">
    <w:abstractNumId w:val="72760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215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