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BOZSÓKI NINA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ninabozsoki@gmail.com</w:t>
            </w:r>
            <w:r w:rsidRPr="001067CD">
              <w:rPr>
                <w:i/>
              </w:rPr>
              <w:br/>
            </w:r>
            <w:r w:rsidR="00A96AEC">
              <w:t>Jog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Újvidéki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Dudás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RS 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„RÓZSASZÍN ADÓ” MINT A NEMEK KÖZÖTTI EGYENLŐTLENSÉG MEGNYILVÁNULÁSA A KERESKEDELMI GYAKORLATBAN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Rózsaszín adó, egyenlőtlenség, árkülönbség, értékesítés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 „rózsaszín adó” problémájával foglalkozik, a hozzá kapcsolódó nemi egyenlőtlenségeket, valamint a nőknek és férfiaknak célzott termékek közötti árkülönbségeket elemzi. A média által megjelenített cikkek és bizonytalanság végett feltételezem, hogy lényegében ugyan azok a termékek, drágábban vannak értékesítve a női vásárlók számára. Ebből kifolyólag célszerű jobban feltárni a “rózsaszín adó” mögötti gazdasági összefüggéseket, illetve annak jogi hátterét. A kutatásom alatt a női és férfi kozmetikai termékek, illetve ruhadarabok árait hasonlítottam össze a szerbiai és a magyarországi piacon.</w:t>
      </w:r>
      <w:r>
        <w:rPr>
          <w:color w:val="000000"/>
          <w:sz w:val="24"/>
          <w:szCs w:val="24"/>
        </w:rPr>
        <w:br/>
        <w:t xml:space="preserve">A “rózsaszín adó” fogyasztóvédelmi vonatkozását megtekintve mindkét országban tiltva van a bármilyen hátrányos megkülönböztetés, viszont a szabad verseny a nyitott piacgazdaság egyik kulcseleme. Ebből kifolyólag, bármelyik terméket, legyen az női vagy férfi, adhatják drágábban, míg annak a bizonyos terméknek az ára nincs törvénnyel korlátozva. A “Rózsaszín adó”, mint árkülönbség vitathatatlanul létezik, hiszen a kiemelt női és férfi termékek árai nem egyeznek meg. Ennek ellenére, nem tudhatjuk, hogy nemi megkülönböztetés áll-e ez mögött.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36508">
    <w:multiLevelType w:val="hybridMultilevel"/>
    <w:lvl w:ilvl="0" w:tplc="84037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36508">
    <w:abstractNumId w:val="452365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5970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