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MÁTÉ</w:t>
            </w:r>
          </w:p>
          <w:p w:rsidR="00C275A3" w:rsidRDefault="00CA6B74" w:rsidP="00C275A3">
            <w:pPr>
              <w:pStyle w:val="Hallgatokepzes"/>
            </w:pPr>
            <w:r w:rsidRPr="001067CD">
              <w:rPr>
                <w:i/>
              </w:rPr>
              <w:t>toth.mate0531@gmail.com</w:t>
            </w:r>
            <w:r w:rsidRPr="001067CD">
              <w:rPr>
                <w:i/>
              </w:rPr>
              <w:br/>
            </w:r>
            <w:r w:rsidR="00A96AEC">
              <w:t>Biomérnök</w:t>
            </w:r>
            <w:r w:rsidR="00A96AEC">
              <w:br/>
            </w:r>
            <w:r w:rsidR="00E77B23">
              <w:t>MSc, 2.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Vértessy G. Beáta</w:t>
            </w:r>
          </w:p>
          <w:p w:rsidR="00DB4822" w:rsidRDefault="00DB4822" w:rsidP="00BA6BAF">
            <w:pPr>
              <w:pStyle w:val="Konzulensektitulus"/>
            </w:pPr>
            <w:r w:rsidRPr="00DB4822">
              <w:t>egyetemi tanár,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sejtciklus során stabil mRNS expresszióval rendelkező referenciagének azonosítása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qPCR, referenciagének, sejtciklus, U937, MOLT4</w:t>
      </w:r>
      <w:r>
        <w:t xml:space="preserve"/>
      </w:r>
    </w:p>
    <w:p>
      <w:pPr>
        <w:widowControl w:val="on"/>
        <w:pBdr/>
        <w:spacing w:before="240" w:after="240" w:line="240" w:lineRule="auto"/>
        <w:ind w:left="0" w:right="0"/>
        <w:jc w:val="left"/>
      </w:pPr>
      <w:r>
        <w:rPr>
          <w:color w:val="000000"/>
          <w:sz w:val="24"/>
          <w:szCs w:val="24"/>
        </w:rPr>
        <w:t xml:space="preserve">A reverz transzkripcióval kapcsolt kvantitatív PCR napjaink egyik leggyakrabban alkalmazott molekuláris biológiai módszere. Széles körben használják tudományos kutatások, valamint orvosdiagnosztikai eljárások során (Kubista et al. 2006). Az mRNS expresszió meghatározásához megfelelő referenciagéneket kell alkalmazni, ezek megtalálása azonban komoly kihívást jelent (Kozera and Rapacz 2013). A kutatócsoportban már sikeresen azonosítottak különböző humán sejtvonalak között jól alkalmazható referenciagéneket (Rácz et al. 2021). Munkám során két humán rákos sejtvonalon (U937, MOLT4) vizsgáltam a korábban már alkalmazott referenciagének (RPL30, SNW1, PUM, ACTB, TBP, HNRNPL, CNOT4, PPIA, GAPDH, UBC, PCBP1, IPO8) mRNS expresszióját a sejtciklus során RT-qPCR technikával. Ahhoz, hogy információt szerezhessek az adott sejtciklus fázisra jellemző expressziós mintázatokról a sejteket szinkronizálnom kellett, majd eltérő időpontokban vizsgálni a mintákat. A szinkronizálás sikerességét FACS módszerrel ellenőriztem. Az RT-qPCR mérésekből nyert adatokat három különböző, egymástól független módszerrel értékeltem ki, melyek az összehasonlító deltaCt módszer, a BestKeeper és a NormFinder szoftverek voltak. Célom volt olyan referenciagének azonosítása, amelyek expressziója stabil marad a teljes sejtciklus alatt, így segítve a sejtciklusfüggő folyamatok vizsgálatát, amelynek jelentős szerepe van a rákkutatásban. Mindkét sejtvonal esetén sikerült megfelelő referenciagéneket azonosítanom, a MOLT4 sejtvonalon a CNOT4, TBP, GAPDH géneket, míg az U937 sejtvonalon az SNW1, TBP és RPL30 géneket. Az eredmények összegzése alapján sikeresen találtam mindkét sejtvonalon stabil expresszióval rendelkező referenciagéneket is, amelyek az SNW1 és GAPDH gének. Az elért eredmények nagy segítséget jelentenek a sejtciklus-függő génexpressziós vizsgálatok tervezésében. Kutatómunkám továbbá arra is felhívja a figyelmet, hogy minden sejtvonal esetén kritikus a referenciagének stabilitásának ellenőrzése.</w:t>
      </w:r>
      <w:r>
        <w:rPr>
          <w:color w:val="000000"/>
          <w:sz w:val="24"/>
          <w:szCs w:val="24"/>
        </w:rPr>
        <w:br/>
        <w:t xml:space="preserve">A minták és mérési pontok nagy száma miatt a kísérleteket többen végeztük. Én minden alfeladatban részt vettem, a szinkronizálási és legyűjtési kísérletekben, mintaelőkészítésben, eredmények elemzésében, azonban a legtöbbet a qPCR mérések során dolgoztam.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328729">
    <w:multiLevelType w:val="hybridMultilevel"/>
    <w:lvl w:ilvl="0" w:tplc="537594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328729">
    <w:abstractNumId w:val="613287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21353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