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GERŐ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gero.viktoria@edu.bme.hu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Bálint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(1,2,3-Triazol-4-il)metil-foszforamidát-származékok előállítása azid-alkin-cikloaddícióval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klikk-reakció; réz(I)-katalízis; nitrogéntartalmú heterociklus; áramlásos kémia; mikrohullámú 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nitrogéntartalmú heterociklusok fontos képviselői közé tartoznak az 1,2,3-triazolszármazékok, széleskörű alkalmazhatóságuk és potenciális biológiai aktivitásuk révén. Kutatómunkám során célul tűztük ki foszforamidát vagy foszfinamid szerkezeti egységet tartalmazó 1,2,3-triazol vegyületek réz(I)-katalizált Huisgen-cikloaddícióval történő előállításának tanulmányozását szakaszos és áramlásos kémiai rendszerekben.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 feltérképezését, választott modellreakciókon (dietil-klórfoszfát vagy difenil-foszfinsav-klorid és propargil-amin, valamint benzil-bromid és nátrium-azid reakcióin) keresztül valósítottuk meg, melyek során vizsgáltuk a reakcióidő, a hőmérséklet és a hőközlés módjának hatását a reakció összetételére nézve. Első lépésben a kulcsintermedierek előállítását optimalizáltuk szakaszos és áramlásos kémiai rendszerben. A következő lépésben a céltermékek előállítását tanulmányoztuk különféle reakciómegvalósítási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folytatásaként az intermedierek és céltermékek előállítása szempontjából legmegfelelőbb módszer és paraméterek megválasztása után, elvégeztük a reakció kiterjesztését különféle benzil- és fenil-azidokkal egyaránt. Az optimális paramétereket alkalmazva összesen 20 új vegyületet szintetizáltunk jó, illetve kiváló termeléssel.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reakciókat vékonyréteg- (VRK), gáz- (GC) és folyadékkromatográfiás (HPLC) mérésekkel követtük. A termékeket HPLC-MS és </w:t>
      </w:r>
      <w:r>
        <w:rPr>
          <w:color w:val="000000"/>
          <w:position w:val="4"/>
          <w:sz w:val="21"/>
          <w:szCs w:val="21"/>
          <w:vertAlign w:val="superscript"/>
        </w:rPr>
        <w:t xml:space="preserve">31</w:t>
      </w:r>
      <w:r>
        <w:rPr>
          <w:color w:val="000000"/>
          <w:sz w:val="24"/>
          <w:szCs w:val="24"/>
        </w:rPr>
        <w:t xml:space="preserve">P NMR segítségével azonosítottuk, szerkezetük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spektroszkópiával, valamint nagyfelbontású tömegspektrometriás (HRMS) vizsgálattal jellemeztük. Az előállított származékok antibakteriális hatását és in vitro citotoxitását együttműködés keretein belül tervezzük 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357188" distR="357188">
            <wp:extent cx="4975200" cy="1562400"/>
            <wp:docPr id="93935847" name="name16a578cc02d32c" descr="imgtmp_105296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296_hu_1.jpg"/>
                    <pic:cNvPicPr/>
                  </pic:nvPicPr>
                  <pic:blipFill>
                    <a:blip r:embed="rId16a578cc02d2e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5200" cy="156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44978">
    <w:multiLevelType w:val="hybridMultilevel"/>
    <w:lvl w:ilvl="0" w:tplc="62529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44978">
    <w:abstractNumId w:val="69744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355035" Type="http://schemas.openxmlformats.org/officeDocument/2006/relationships/numbering" Target="numbering.xml"/><Relationship Id="rId16a578cc02d2eb" Type="http://schemas.openxmlformats.org/officeDocument/2006/relationships/image" Target="media/imgrId16a578cc02d2eb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