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MELKÓ EMESE</w:t>
            </w:r>
          </w:p>
          <w:p w:rsidR="00C275A3" w:rsidRDefault="00CA6B74" w:rsidP="00C275A3">
            <w:pPr>
              <w:pStyle w:val="Hallgatokepzes"/>
            </w:pPr>
            <w:r w:rsidRPr="001067CD">
              <w:rPr>
                <w:i/>
              </w:rPr>
              <w:t>melkoemese@gmail.com</w:t>
            </w:r>
            <w:r w:rsidRPr="001067CD">
              <w:rPr>
                <w:i/>
              </w:rPr>
              <w:br/>
            </w:r>
            <w:r w:rsidR="00A96AEC">
              <w:t>angol nyelv és kultúra tanára; testnevelő tanár</w:t>
            </w:r>
            <w:r w:rsidR="00A96AEC">
              <w:br/>
            </w:r>
            <w:r w:rsidR="00E77B23">
              <w:t>Osztatlan, 9.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Antal Éva</w:t>
            </w:r>
          </w:p>
          <w:p w:rsidR="00DB4822" w:rsidRDefault="00DB4822" w:rsidP="00BA6BAF">
            <w:pPr>
              <w:pStyle w:val="Konzulensektitulus"/>
            </w:pPr>
            <w:r w:rsidRPr="00DB4822">
              <w:t>habilitált főiskolai tanár,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öröm és a fájdalom allegóriái: Oscar Wilde tündérmeséi a szenvedélyről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Oscar Wilde; esztétika; mese; allegória; gránátalma</w:t>
      </w:r>
      <w:r>
        <w:t xml:space="preserve"/>
      </w:r>
    </w:p>
    <w:p>
      <w:pPr>
        <w:widowControl w:val="on"/>
        <w:pBdr/>
        <w:spacing w:before="240" w:after="240" w:line="240" w:lineRule="auto"/>
        <w:ind w:left="0" w:right="0"/>
        <w:jc w:val="left"/>
      </w:pPr>
      <w:r>
        <w:rPr>
          <w:color w:val="000000"/>
          <w:sz w:val="24"/>
          <w:szCs w:val="24"/>
        </w:rPr>
        <w:t xml:space="preserve">Oscar Wilde’s two collections of fairy tales, The Happy Prince and Other Tales (1888) and A House of Pomegranates (1891), are often grouped together and categorised under children’s literature. Yet, at first glance, the reader may wonder whether these stories are really intended for a young audience – especially when reading the latter volume. The ‘fruit of Oscar Wilde’s labour’ in the writing of the two collections was an outwardly magnificent pomegranate, which represents the unified essence of all his tales. As we begin to open this fruit, we reveal how each story lives within ‘a Wildean palace of Art,’ composed to hold the richness of his allegory. My research seeks to contextualise Wilde’s narratives within the Victorian cultural milieu, by peeling off the layers of the underlying meanings, to set the stage for a profound analysis of the complex relationship between pleasure and pain in his tales. In my research, I will discuss Wilde’s influence on Aestheticism and Victorian society, followed by a general introduction to fairy tales. Then – ‘at my own peril’ –, I will examine the motifs of aestheticism, morality and Christianity in depth that express the artistic and philosophical themes in Oscar Wilde’s allegorical fairy tales.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97898">
    <w:multiLevelType w:val="hybridMultilevel"/>
    <w:lvl w:ilvl="0" w:tplc="67274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97898">
    <w:abstractNumId w:val="893978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178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