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SZILVIA</w:t>
            </w:r>
          </w:p>
          <w:p w:rsidR="00C275A3" w:rsidRDefault="00CA6B74" w:rsidP="00C275A3">
            <w:pPr>
              <w:pStyle w:val="Hallgatokepzes"/>
            </w:pPr>
            <w:r w:rsidRPr="001067CD">
              <w:rPr>
                <w:i/>
              </w:rPr>
              <w:t>hegedusszilvia17@gmail.com</w:t>
            </w:r>
            <w:r w:rsidRPr="001067CD">
              <w:rPr>
                <w:i/>
              </w:rPr>
              <w:br/>
            </w:r>
            <w:r w:rsidR="00A96AEC">
              <w:t>Human Resource Management</w:t>
            </w:r>
            <w:r w:rsidR="00A96AEC">
              <w:br/>
            </w:r>
            <w:r w:rsidR="00E77B23">
              <w:t>BA, 7.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Matiscsákné Dr Lizák Marianna</w:t>
            </w:r>
          </w:p>
          <w:p w:rsidR="00DB4822" w:rsidRDefault="00DB4822" w:rsidP="00BA6BAF">
            <w:pPr>
              <w:pStyle w:val="Konzulensektitulus"/>
            </w:pPr>
            <w:r w:rsidRPr="00DB4822">
              <w:t>mesteroktató,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labor market situation of the visually impaired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visually impaired, lapor market situation, discrimination</w:t>
      </w:r>
      <w:r>
        <w:t xml:space="preserve"/>
      </w:r>
    </w:p>
    <w:p>
      <w:pPr>
        <w:widowControl w:val="on"/>
        <w:pBdr/>
        <w:spacing w:before="240" w:after="240" w:line="240" w:lineRule="auto"/>
        <w:ind w:left="0" w:right="0"/>
        <w:jc w:val="left"/>
      </w:pPr>
      <w:r>
        <w:rPr>
          <w:color w:val="000000"/>
          <w:sz w:val="24"/>
          <w:szCs w:val="24"/>
        </w:rPr>
        <w:t xml:space="preserve">The employment situation of individuals with visual impairments presents unique challenges, intertwining with social and economic issues. Despite progress, people with visual impairments often face significant barriers in entering the labor market and succeeding in their work, from initial recruitment to daily tasks. This study explores the multifaceted challenges that individuals with visual impairments encounter in the workforce. The key research questions are as</w:t>
      </w:r>
      <w:r>
        <w:rPr>
          <w:color w:val="000000"/>
          <w:sz w:val="24"/>
          <w:szCs w:val="24"/>
        </w:rPr>
        <w:br/>
        <w:t xml:space="preserve">Q1: How does the employment situation of individuals with visual impairments change over time, and what impact does technological devel</w:t>
      </w:r>
      <w:r>
        <w:rPr>
          <w:color w:val="000000"/>
          <w:sz w:val="24"/>
          <w:szCs w:val="24"/>
        </w:rPr>
        <w:br/>
        <w:t xml:space="preserve">Q2: What differences exist in the employment situations of individuals with different types of visual impairments?</w:t>
      </w:r>
      <w:r>
        <w:rPr>
          <w:color w:val="000000"/>
          <w:sz w:val="24"/>
          <w:szCs w:val="24"/>
        </w:rPr>
        <w:br/>
        <w:t xml:space="preserve">Q3: How can employers' awareness and openness to the</w:t>
      </w:r>
      <w:r>
        <w:rPr>
          <w:color w:val="000000"/>
          <w:sz w:val="24"/>
          <w:szCs w:val="24"/>
        </w:rPr>
        <w:br/>
        <w:t xml:space="preserve">This research aims to shed light on the experiences of job seekers and employees with visual impairments through a combination of surveys and interviews. The results will examine the impact of social attitudes, legal frameworks, and workplace accessibility on employment outcomes. Furthermore, the study explores the role of assistive technologies in facilitating employment and the potential benefits of employing individuals with visual impairments for both the individual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68118">
    <w:multiLevelType w:val="hybridMultilevel"/>
    <w:lvl w:ilvl="0" w:tplc="93263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68118">
    <w:abstractNumId w:val="92068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118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