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ANTONIA KOVACS</w:t>
            </w:r>
          </w:p>
          <w:p w:rsidR="00C275A3" w:rsidRDefault="00CA6B74" w:rsidP="00C275A3">
            <w:pPr>
              <w:pStyle w:val="Hallgatokepzes"/>
            </w:pPr>
            <w:r w:rsidRPr="001067CD">
              <w:rPr>
                <w:i/>
              </w:rPr>
              <w:t>k.antonia01@gmail.com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 Eszterházy Károly Catholic University</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Daniel Martin Baranyi</w:t>
            </w:r>
          </w:p>
          <w:p w:rsidR="00DB4822" w:rsidRDefault="00DB4822" w:rsidP="00BA6BAF">
            <w:pPr>
              <w:pStyle w:val="Konzulensektitulus"/>
            </w:pPr>
            <w:r w:rsidRPr="00DB4822">
              <w:t>assistant lecturer,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relationship between public services and subjective well-being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Public services, subjective well-being, quality of life, sustainability, social equality</w:t>
      </w:r>
      <w:r>
        <w:t xml:space="preserve"/>
      </w:r>
    </w:p>
    <w:p>
      <w:pPr>
        <w:widowControl w:val="on"/>
        <w:pBdr/>
        <w:spacing w:before="240" w:after="240" w:line="240" w:lineRule="auto"/>
        <w:ind w:left="0" w:right="0"/>
        <w:jc w:val="left"/>
      </w:pPr>
      <w:r>
        <w:rPr>
          <w:color w:val="000000"/>
          <w:sz w:val="24"/>
          <w:szCs w:val="24"/>
        </w:rPr>
        <w:t xml:space="preserve">The thesis explores the relationship between the quality of public services and subjective well-being in Hungary, with a special focus on healthcare, education, green spaces, and cultural opportunities. It underscores the importance of public goods in improving societal welfare and enhancing quality of life, while addressing regional disparities and their impact on citizens' satisfaction. The research employs both quantitative and qualitative methods, including surveys and statistical modeling. Findings reveal that the accessibility and quality of public services significantly influence levels of subjective happiness, particularly in relation to population density variations. The study highlights the need for sustainable and equitable distribution of public services as a foundation for achieving social equality. Furthermore, it emphasizes the opportunities in the design and development of public goods to enhance happiness and offers policy recommendations for addressing regional development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99292">
    <w:multiLevelType w:val="hybridMultilevel"/>
    <w:lvl w:ilvl="0" w:tplc="95526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99292">
    <w:abstractNumId w:val="70999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451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