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KÁLDI LAURA MARGIT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kaldilaura@gmail.com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Figyeltek Ti egyáltalán? - Figyelem vizsgálata 4. és 8. osztályos tanulók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Fenntartó, figyelem, Stroop, Pieron, nem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4. és 8. osztályos tanulók figyelmének vizsgálata állami és egyházi intézményekben, ahol külön figyelmet fordítottunk arra, hogy különnevelő intézmények tanulóit is vizsgáljuk. A kutatás során több hipotézist is megfogalmaztunk, amelyek a nemmel, a családi környezettel, fenntartóval, valamint internethasználattal kapcsolatosak.</w:t>
      </w:r>
      <w:r>
        <w:rPr>
          <w:color w:val="000000"/>
          <w:sz w:val="24"/>
          <w:szCs w:val="24"/>
        </w:rPr>
        <w:br/>
        <w:t xml:space="preserve">A kutatásban 4. és 8. osztályos tanulók figyelmét vizsgáltuk Stroop-teszttel, valamint Pieron-teszttel, valamint háttérkérdőívet is vettünk fel a tanulókkal, az otthoni környezettel, internetezési szokásokkal, valamint saját maga figyelmének megítélésével kapcsolatban. A háttérkérdőív adatait összevetettük a két vizsgálóeljárás eredményeivel. Az adatelemzés során SPSS statisztikai programot használtunk, ahol két és háromdimenziós ANOVA elemzést végeztünk, valamint kialakítottunk a változók alapján egy önbevallásos figyelem-indexet és internethasználati-indexet. Spearman-korrelációs vizsgálatot is végeztünk a két index, valamint a két eltérő vizsgálóeljárás eredményei között.</w:t>
      </w:r>
      <w:r>
        <w:rPr>
          <w:color w:val="000000"/>
          <w:sz w:val="24"/>
          <w:szCs w:val="24"/>
        </w:rPr>
        <w:br/>
        <w:t xml:space="preserve">Eredményeink alapján a fiúk jobban teljesítenek a két vizsgáló eljáráson, valamint az egyházi intézményekben tanuló gyermekek eredményei a négy vizsgált intézményből a 2. legjobbak. Az életkor előrehaladtával a figyelem pozitívan változik. A sajátos nevelési igény különböző kategóriában gyermekek eredményei gyengébbek, mint a tipikusan fejlődő gyermekeké.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09694">
    <w:multiLevelType w:val="hybridMultilevel"/>
    <w:lvl w:ilvl="0" w:tplc="12810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09694">
    <w:abstractNumId w:val="84309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477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