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LAM THI DA THAO</w:t>
            </w:r>
          </w:p>
          <w:p w:rsidR="00C275A3" w:rsidRDefault="00CA6B74" w:rsidP="00C275A3">
            <w:pPr>
              <w:pStyle w:val="Hallgatokepzes"/>
            </w:pPr>
            <w:r w:rsidRPr="001067CD">
              <w:rPr>
                <w:i/>
              </w:rPr>
              <w:t>lamthidathao24@gmail.com</w:t>
            </w:r>
            <w:r w:rsidRPr="001067CD">
              <w:rPr>
                <w:i/>
              </w:rPr>
              <w:br/>
            </w:r>
            <w:r w:rsidR="00A96AEC">
              <w:t>Vegyeszmernok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Ervin</w:t>
            </w:r>
          </w:p>
          <w:p w:rsidR="00DB4822" w:rsidRDefault="00DB4822" w:rsidP="00BA6BAF">
            <w:pPr>
              <w:pStyle w:val="Konzulensektitulus"/>
            </w:pPr>
            <w:r w:rsidRPr="00DB4822">
              <w:t>tudományos munkatárs,  HUN-REN  Termeszettudomanyi Kutatokozpont</w:t>
            </w:r>
          </w:p>
        </w:tc>
      </w:tr>
      <w:tr w:rsidR="00DB4822" w:rsidTr="00DB4822">
        <w:tc>
          <w:tcPr>
            <w:tcW w:w="9854" w:type="dxa"/>
          </w:tcPr>
          <w:p w:rsidR="00DB4822" w:rsidRPr="00DB4822" w:rsidRDefault="00DB4822" w:rsidP="00BA6BAF">
            <w:pPr>
              <w:pStyle w:val="Konzulenseknev"/>
            </w:pPr>
            <w:r w:rsidRPr="00DB4822">
              <w:t>Dr. Hegedűs László</w:t>
            </w:r>
          </w:p>
          <w:p w:rsidR="00DB4822" w:rsidRDefault="00DB4822" w:rsidP="00BA6BAF">
            <w:pPr>
              <w:pStyle w:val="Konzulensektitulus"/>
            </w:pPr>
            <w:r w:rsidRPr="00DB4822">
              <w:t>habilitált 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Innovative and Sustainable Electrocatalytic Oxidation of Amines for Synthesis of Imines and Nitriles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Amine oxidation, electrocatalysis, electrosynthesis, imines, nitriles</w:t>
      </w:r>
      <w:r>
        <w:t xml:space="preserve"/>
      </w:r>
    </w:p>
    <w:p>
      <w:pPr>
        <w:widowControl w:val="on"/>
        <w:pBdr/>
        <w:spacing w:before="240" w:after="240" w:line="240" w:lineRule="auto"/>
        <w:ind w:left="0" w:right="0"/>
        <w:jc w:val="left"/>
      </w:pPr>
      <w:r>
        <w:rPr>
          <w:color w:val="000000"/>
          <w:sz w:val="24"/>
          <w:szCs w:val="24"/>
        </w:rPr>
        <w:t xml:space="preserve">Over the past few decades, various sustainable electrochemical oxidation reactions have been deeply investigated due to their sustainable and productive cleansing methodology compared to traditional chemical transformations that require harsh conditions and toxic reagents. The high applicability of imine and nitrile in a wide range of fields, including pharmaceuticals, agriculture, material science, and polymers, coupled with their versatility in a plethora of reactions, make the synthesis of imines and nitriles represent a promising avenue of research in the present era.[1] Electrochemical oxidation of amines is well-known, applying transition metal electrodes, special alloys, or expensive electrodes with modified surfaces.[2] This project represents a comprehensive analysis of the diverse electrocatalytic transformation of various amines, including primary amines, N-substituted benzylic amines, and secondary amines by applying inexpensive electrodes in mild conditions. Consequently, using appropriate conditions with nitroxyl radical catalytic, cost-effective electrodes such as graphite and stainless steel were successfully employed to produce stable imine and nitrile products with high efficiency (&gt;99% yield) and selectivity (up to 99%).</w:t>
      </w:r>
    </w:p>
    <w:p>
      <w:pPr>
        <w:widowControl w:val="on"/>
        <w:pBdr/>
        <w:spacing w:before="240" w:after="240" w:line="240" w:lineRule="auto"/>
        <w:ind w:left="0" w:right="0"/>
        <w:jc w:val="left"/>
      </w:pPr>
      <w:r>
        <w:rPr>
          <w:color w:val="000000"/>
          <w:sz w:val="24"/>
          <w:szCs w:val="24"/>
        </w:rPr>
        <w:br/>
        <w:t xml:space="preserve">References</w:t>
      </w:r>
      <w:r>
        <w:rPr>
          <w:color w:val="000000"/>
          <w:sz w:val="24"/>
          <w:szCs w:val="24"/>
        </w:rPr>
        <w:br/>
        <w:t xml:space="preserve">[1]. Pollok, D.; Waldvogel, S. R. Chem. Sci. 11, 12386–12400 (2020).</w:t>
      </w:r>
      <w:r>
        <w:rPr>
          <w:color w:val="000000"/>
          <w:sz w:val="24"/>
          <w:szCs w:val="24"/>
        </w:rPr>
        <w:br/>
        <w:t xml:space="preserve">[2]. Xu, Z.; Kovács, E. ACS Org. Inorg. Au (2024) doi:10.1021/acsorginorgau.4c00025.</w:t>
      </w:r>
      <w:r>
        <w:rPr>
          <w:color w:val="000000"/>
          <w:sz w:val="24"/>
          <w:szCs w:val="24"/>
        </w:rPr>
        <w:br/>
        <w:t xml:space="preserve">[3]. Semmelhack, M. F.; Schmid, C. R. J. Am. Chem. Soc. 105, 6732–6734 (1983).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22167">
    <w:multiLevelType w:val="hybridMultilevel"/>
    <w:lvl w:ilvl="0" w:tplc="86725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22167">
    <w:abstractNumId w:val="38222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124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