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MAKOVINYI LUCA BORBÁLA</w:t>
            </w:r>
          </w:p>
          <w:p w:rsidR="00C275A3" w:rsidRDefault="00CA6B74" w:rsidP="00C275A3">
            <w:pPr>
              <w:pStyle w:val="Hallgatokepzes"/>
            </w:pPr>
            <w:r w:rsidRPr="001067CD">
              <w:rPr>
                <w:i/>
              </w:rPr>
              <w:t>m.lucabori@gmail.com</w:t>
            </w:r>
            <w:r w:rsidRPr="001067CD">
              <w:rPr>
                <w:i/>
              </w:rPr>
              <w:br/>
            </w:r>
            <w:r w:rsidR="00A96AEC">
              <w:t>Anglisztika</w:t>
            </w:r>
            <w:r w:rsidR="00A96AEC">
              <w:br/>
            </w:r>
            <w:r w:rsidR="00E77B23">
              <w:t>BA, 4.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Gyuris Kata</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Neither Here nor There: The Cultural Hybridity of Second-Generation Immigrants in Jhumpa Lahiri’s "Interpreter of Maladies"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kulturális hibriditás; identitás; posztkoloniális irodalom</w:t>
      </w:r>
      <w:r>
        <w:t xml:space="preserve"/>
      </w:r>
    </w:p>
    <w:p>
      <w:pPr>
        <w:widowControl w:val="on"/>
        <w:pBdr/>
        <w:spacing w:before="240" w:after="240" w:line="240" w:lineRule="auto"/>
        <w:ind w:left="0" w:right="0"/>
        <w:jc w:val="left"/>
      </w:pPr>
      <w:r>
        <w:rPr>
          <w:color w:val="000000"/>
          <w:sz w:val="24"/>
          <w:szCs w:val="24"/>
        </w:rPr>
        <w:t xml:space="preserve">Jhumpa Lahiri’s Pulitzer Prize-winning short story collection, Interpreter of Maladies (1999) delves into the complexities of cultural identity, displacement, and the lived experiences of Indian and Indian-American characters. While the characters show similarity in their shared cultural history, they exhibit various manifestations of hybrid identities, prompting an exploration of whether cultural hybridity extends beyond the tragedy of not fully belonging to either side of the hybrid self. Focusing on three short stories from Lahiri’s collection – “When Mr. Pirzada Came to Dine,” “Sexy,” and “A Temporary Matter” – this paper aims to trace the trajectory of hybrid identity and understand different sides of its spectrum. Furthermore, the analysis aims to highlight that hybridity is not just a site of conflict but a dynamic force that grants opportunities for both personal and collective growth.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31092">
    <w:multiLevelType w:val="hybridMultilevel"/>
    <w:lvl w:ilvl="0" w:tplc="91238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31092">
    <w:abstractNumId w:val="269310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8973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