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KHAN MUBASHARA</w:t>
            </w:r>
          </w:p>
          <w:p w:rsidR="00C275A3" w:rsidRDefault="00CA6B74" w:rsidP="00C275A3">
            <w:pPr>
              <w:pStyle w:val="Hallgatokepzes"/>
            </w:pPr>
            <w:r w:rsidRPr="001067CD">
              <w:rPr>
                <w:i/>
              </w:rPr>
              <w:t>khan@student.elte.hu</w:t>
            </w:r>
            <w:r w:rsidRPr="001067CD">
              <w:rPr>
                <w:i/>
              </w:rPr>
              <w:br/>
            </w:r>
            <w:r w:rsidR="00A96AEC">
              <w:t>Student</w:t>
            </w:r>
            <w:r w:rsidR="00A96AEC">
              <w:br/>
            </w:r>
            <w:r w:rsidR="00E77B23">
              <w:t>MA, 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Gyuris Kata</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(Re)Visiting Godden's India: Colonial and Female Spaces in Black Narcissus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postcolonial; ecocritical; Rumer Godden; landscape; British India</w:t>
      </w:r>
      <w:r>
        <w:t xml:space="preserve"/>
      </w:r>
    </w:p>
    <w:p>
      <w:pPr>
        <w:widowControl w:val="on"/>
        <w:pBdr/>
        <w:spacing w:before="240" w:after="240" w:line="240" w:lineRule="auto"/>
        <w:ind w:left="0" w:right="0"/>
        <w:jc w:val="left"/>
      </w:pPr>
      <w:r>
        <w:rPr>
          <w:color w:val="000000"/>
          <w:sz w:val="24"/>
          <w:szCs w:val="24"/>
        </w:rPr>
        <w:t xml:space="preserve">The paper examines how the Indian people, landscape and spaces mentioned in the novel Black Narcissus (1939) resist, challenge, and eventually defeat the reforming mission of the English nuns who travel to the Himalayas to set up a Convent school community. The nuns’ mission is representative of the imperial agenda to subjugate the Indian land and its people. The paper further explores how Godden subverts traditional colonial narratives about women and colonised peoples through alternative representations of the local people and their landscape, highlighting their resilience to imperial rule. The discussion concludes with highlighting Godden’s unique contribution to the Oriental discourse by her writing back about India.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83325">
    <w:multiLevelType w:val="hybridMultilevel"/>
    <w:lvl w:ilvl="0" w:tplc="93015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83325">
    <w:abstractNumId w:val="505833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566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