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OSZLOVICS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oszlovicsk2001@gmail.com</w:t>
            </w:r>
            <w:r w:rsidRPr="001067CD">
              <w:rPr>
                <w:i/>
              </w:rPr>
              <w:br/>
            </w:r>
            <w:r w:rsidR="00A96AEC">
              <w:t>angol nyelv és kultúra - etikatanár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Magnuczné dr. Godó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 tanszékvezető,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angol szenvedő szerkezet alkalmazásának stratégiái a személytelenség elérésére hallgatói angol alap- és mesterszakos szakdolgozatokban: Három esettanulmány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szenvedő szerkezet; személytelenítés; angol tudományos stílus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passive voice often poses challenges for learners of English, particularly for Hungarian</w:t>
      </w:r>
      <w:r>
        <w:rPr>
          <w:color w:val="000000"/>
          <w:sz w:val="24"/>
          <w:szCs w:val="24"/>
        </w:rPr>
        <w:br/>
        <w:t xml:space="preserve">native speakers, due to differences in scope and frequency of its use between English and</w:t>
      </w:r>
      <w:r>
        <w:rPr>
          <w:color w:val="000000"/>
          <w:sz w:val="24"/>
          <w:szCs w:val="24"/>
        </w:rPr>
        <w:br/>
        <w:t xml:space="preserve">Hungarian (Ding, 2002, as cited in Khaganinejad et al., 2022; Ali Lubis &amp; Miranti, 2024;</w:t>
      </w:r>
      <w:r>
        <w:rPr>
          <w:color w:val="000000"/>
          <w:sz w:val="24"/>
          <w:szCs w:val="24"/>
        </w:rPr>
        <w:br/>
        <w:t xml:space="preserve">Benett, 2009; Hyland &amp; Jiang, 2017; Khaghaninejad, Azarian &amp; Javanmardi, 2022; Abkas &amp;</w:t>
      </w:r>
      <w:r>
        <w:rPr>
          <w:color w:val="000000"/>
          <w:sz w:val="24"/>
          <w:szCs w:val="24"/>
        </w:rPr>
        <w:br/>
        <w:t xml:space="preserve">Hardman, 2017). Previous research (Oszlovics, in press; Oszlovics, 2024) has thoroughly</w:t>
      </w:r>
      <w:r>
        <w:rPr>
          <w:color w:val="000000"/>
          <w:sz w:val="24"/>
          <w:szCs w:val="24"/>
        </w:rPr>
        <w:br/>
        <w:t xml:space="preserve">discussed the formal features of the passive voice in these two languages. This study focuses</w:t>
      </w:r>
      <w:r>
        <w:rPr>
          <w:color w:val="000000"/>
          <w:sz w:val="24"/>
          <w:szCs w:val="24"/>
        </w:rPr>
        <w:br/>
        <w:t xml:space="preserve">on the use of the passive voice in academic writing, aiming to investigate how Hungarian</w:t>
      </w:r>
      <w:r>
        <w:rPr>
          <w:color w:val="000000"/>
          <w:sz w:val="24"/>
          <w:szCs w:val="24"/>
        </w:rPr>
        <w:br/>
        <w:t xml:space="preserve">university students utilize it in their BA and MA theses to maintain an impersonal tone scientific</w:t>
      </w:r>
      <w:r>
        <w:rPr>
          <w:color w:val="000000"/>
          <w:sz w:val="24"/>
          <w:szCs w:val="24"/>
        </w:rPr>
        <w:br/>
        <w:t xml:space="preserve">objectivity.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triangulated research design was employed, combining qualitative analysis, discourse</w:t>
      </w:r>
      <w:r>
        <w:rPr>
          <w:color w:val="000000"/>
          <w:sz w:val="24"/>
          <w:szCs w:val="24"/>
        </w:rPr>
        <w:br/>
        <w:t xml:space="preserve">analysis, and semi-structured interviews. First, the frequency and academic functions of passive</w:t>
      </w:r>
      <w:r>
        <w:rPr>
          <w:color w:val="000000"/>
          <w:sz w:val="24"/>
          <w:szCs w:val="24"/>
        </w:rPr>
        <w:br/>
        <w:t xml:space="preserve">finite verbs were analysed in three theses written by Hungarian students. Subsequently,</w:t>
      </w:r>
      <w:r>
        <w:rPr>
          <w:color w:val="000000"/>
          <w:sz w:val="24"/>
          <w:szCs w:val="24"/>
        </w:rPr>
        <w:br/>
        <w:t xml:space="preserve">interviews were conducted with the authors to explore their motivations and strategies for using</w:t>
      </w:r>
      <w:r>
        <w:rPr>
          <w:color w:val="000000"/>
          <w:sz w:val="24"/>
          <w:szCs w:val="24"/>
        </w:rPr>
        <w:br/>
        <w:t xml:space="preserve">the passive voice. Additionally, the study examined other impersonalization tools, such as</w:t>
      </w:r>
      <w:r>
        <w:rPr>
          <w:color w:val="000000"/>
          <w:sz w:val="24"/>
          <w:szCs w:val="24"/>
        </w:rPr>
        <w:br/>
        <w:t xml:space="preserve">abstract rhetors (e.g., “this paper”), in the Introduction and Conclusion sections.</w:t>
      </w:r>
      <w:r>
        <w:rPr>
          <w:color w:val="000000"/>
          <w:sz w:val="24"/>
          <w:szCs w:val="24"/>
        </w:rPr>
        <w:br/>
        <w:t xml:space="preserve">The results reveal a range of strategies: for instance, all three students used the passive</w:t>
      </w:r>
      <w:r>
        <w:rPr>
          <w:color w:val="000000"/>
          <w:sz w:val="24"/>
          <w:szCs w:val="24"/>
        </w:rPr>
        <w:br/>
        <w:t xml:space="preserve">voice to maintain an impersonal tone, or to put the focus on results rather than the agent.</w:t>
      </w:r>
      <w:r>
        <w:rPr>
          <w:color w:val="000000"/>
          <w:sz w:val="24"/>
          <w:szCs w:val="24"/>
        </w:rPr>
        <w:br/>
        <w:t xml:space="preserve">However, individual motivations also played a significant role.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This research contributes to a deeper understanding of the strategies Hungarian students</w:t>
      </w:r>
      <w:r>
        <w:rPr>
          <w:color w:val="000000"/>
          <w:sz w:val="24"/>
          <w:szCs w:val="24"/>
        </w:rPr>
        <w:br/>
        <w:t xml:space="preserve">use to incorporate the passive voice and maintain objectivity in academic writing. By</w:t>
      </w:r>
      <w:r>
        <w:rPr>
          <w:color w:val="000000"/>
          <w:sz w:val="24"/>
          <w:szCs w:val="24"/>
        </w:rPr>
        <w:br/>
        <w:t xml:space="preserve">highlighting their motivations and approaches, this study offers insights into how native</w:t>
      </w:r>
      <w:r>
        <w:rPr>
          <w:color w:val="000000"/>
          <w:sz w:val="24"/>
          <w:szCs w:val="24"/>
        </w:rPr>
        <w:br/>
        <w:t xml:space="preserve">Hungarian speakers adapt their writing to meet the conventions of the English academic style,</w:t>
      </w:r>
      <w:r>
        <w:rPr>
          <w:color w:val="000000"/>
          <w:sz w:val="24"/>
          <w:szCs w:val="24"/>
        </w:rPr>
        <w:br/>
        <w:t xml:space="preserve">potentially aiding educators in supporting students in this area.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This study maps out Hungarian students’ strategies for using the passive voice in</w:t>
      </w:r>
      <w:r>
        <w:rPr>
          <w:color w:val="000000"/>
          <w:sz w:val="24"/>
          <w:szCs w:val="24"/>
        </w:rPr>
        <w:br/>
        <w:t xml:space="preserve">academic writing through a triangulated approach. I analysed the frequency and academic</w:t>
      </w:r>
      <w:r>
        <w:rPr>
          <w:color w:val="000000"/>
          <w:sz w:val="24"/>
          <w:szCs w:val="24"/>
        </w:rPr>
        <w:br/>
        <w:t xml:space="preserve">functions of passive finite verbs, identified patterns in impersonalization strategies, and</w:t>
      </w:r>
      <w:r>
        <w:rPr>
          <w:color w:val="000000"/>
          <w:sz w:val="24"/>
          <w:szCs w:val="24"/>
        </w:rPr>
        <w:br/>
        <w:t xml:space="preserve">conducted interviews with thesis authors. These findings shed light on the challenges faced by</w:t>
      </w:r>
      <w:r>
        <w:rPr>
          <w:color w:val="000000"/>
          <w:sz w:val="24"/>
          <w:szCs w:val="24"/>
        </w:rPr>
        <w:br/>
        <w:t xml:space="preserve">Hungarian students and provide valuable insights into their adaptation to English academic</w:t>
      </w:r>
      <w:r>
        <w:rPr>
          <w:color w:val="000000"/>
          <w:sz w:val="24"/>
          <w:szCs w:val="24"/>
        </w:rPr>
        <w:br/>
        <w:t xml:space="preserve">norms.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02786">
    <w:multiLevelType w:val="hybridMultilevel"/>
    <w:lvl w:ilvl="0" w:tplc="87507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02786">
    <w:abstractNumId w:val="51802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698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