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ECSERI GÁBOR ANDRÁS</w:t>
            </w:r>
          </w:p>
          <w:p w:rsidR="00C275A3" w:rsidRDefault="00CA6B74" w:rsidP="00C275A3">
            <w:pPr>
              <w:pStyle w:val="Hallgatokepzes"/>
            </w:pPr>
            <w:r w:rsidRPr="001067CD">
              <w:rPr>
                <w:i/>
              </w:rPr>
              <w:t>ecseri.gab@gmail.com</w:t>
            </w:r>
            <w:r w:rsidRPr="001067CD">
              <w:rPr>
                <w:i/>
              </w:rPr>
              <w:br/>
            </w:r>
            <w:r w:rsidR="00A96AEC">
              <w:t>vegyész</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Fábri Csaba</w:t>
            </w:r>
          </w:p>
          <w:p w:rsidR="00DB4822" w:rsidRDefault="00DB4822" w:rsidP="00BA6BAF">
            <w:pPr>
              <w:pStyle w:val="Konzulensektitulus"/>
            </w:pPr>
            <w:r w:rsidRPr="00DB4822">
              <w:t>tudományos főmunkatárs, ELTE TTK</w:t>
            </w:r>
          </w:p>
        </w:tc>
      </w:tr>
      <w:tr w:rsidR="00DB4822" w:rsidTr="00DB4822">
        <w:tc>
          <w:tcPr>
            <w:tcW w:w="9854" w:type="dxa"/>
          </w:tcPr>
          <w:p w:rsidR="00DB4822" w:rsidRPr="00DB4822" w:rsidRDefault="00DB4822" w:rsidP="00BA6BAF">
            <w:pPr>
              <w:pStyle w:val="Konzulenseknev"/>
            </w:pPr>
            <w:r w:rsidRPr="00DB4822">
              <w:t>Császár Attila Géza</w:t>
            </w:r>
          </w:p>
          <w:p w:rsidR="00DB4822" w:rsidRDefault="00DB4822" w:rsidP="00BA6BAF">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Reakciósebességi együtthatók kvantummechanikai számítása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reaction dynamics; bimolecular reactions; autocorrelation functions; reactive flux; thermal flux</w:t>
      </w:r>
      <w:r>
        <w:t xml:space="preserve"/>
      </w:r>
    </w:p>
    <w:p>
      <w:pPr>
        <w:widowControl w:val="on"/>
        <w:pBdr/>
        <w:spacing w:before="240" w:after="240" w:line="240" w:lineRule="auto"/>
        <w:ind w:left="0" w:right="0"/>
        <w:jc w:val="left"/>
      </w:pPr>
      <w:r>
        <w:rPr>
          <w:color w:val="000000"/>
          <w:sz w:val="24"/>
          <w:szCs w:val="24"/>
        </w:rPr>
        <w:t xml:space="preserve">Numerous methods have been developed for the computation of temperature-dependent reaction rate coefficients. The most widely employed methods neglect, partially or fully, the quantum effects. During my work, I implemented a fully quantum mechanical method, originally proposed by Miller, Schwartz and Tromp [1], which allows the direct determination of temperature-dependent reaction rate coefficients. This means that there is no need for the expensive and troublesome computation of detailed, state-to-state information. The algorithm I developed and implemented follows a five-step procedure: (1) diagonalization of the so-called thermal flux operator, (2) time propagation of selected thermal flux eigenfunctions, (3) evaluation of the so-called flux autocorrelation function, (4) integration of the flux autocorrelation function, and (5) division of the result by the reactant partition function.</w:t>
      </w:r>
      <w:r>
        <w:rPr>
          <w:color w:val="000000"/>
          <w:sz w:val="24"/>
          <w:szCs w:val="24"/>
        </w:rPr>
        <w:br/>
        <w:t xml:space="preserve">The code I developed is a significant extension of the GENIUSH program package, developed in our research group. GENIUSH was originally designed for the (quasi-)variational solution of the time-independent nuclear Schrödinger equation. The general kinetic energy representation encoded in GENIUSH ensures that the code can be applied to any reaction scheme, once the potential energy surface and the internal-coordinate definitions are specified by the user.</w:t>
      </w:r>
      <w:r>
        <w:rPr>
          <w:color w:val="000000"/>
          <w:sz w:val="24"/>
          <w:szCs w:val="24"/>
        </w:rPr>
        <w:br/>
        <w:t xml:space="preserve">To validate my code, I performed computations on two model reaction systems: the one-dimensional Eckart barrier and the collinear H</w:t>
      </w:r>
      <w:r>
        <w:rPr>
          <w:color w:val="000000"/>
          <w:position w:val="-4"/>
          <w:sz w:val="21"/>
          <w:szCs w:val="21"/>
          <w:vertAlign w:val="subscript"/>
        </w:rPr>
        <w:t xml:space="preserve">2</w:t>
      </w:r>
      <w:r>
        <w:rPr>
          <w:color w:val="000000"/>
          <w:sz w:val="24"/>
          <w:szCs w:val="24"/>
        </w:rPr>
        <w:t xml:space="preserve"> + H = H + H</w:t>
      </w:r>
      <w:r>
        <w:rPr>
          <w:color w:val="000000"/>
          <w:position w:val="-4"/>
          <w:sz w:val="21"/>
          <w:szCs w:val="21"/>
          <w:vertAlign w:val="subscript"/>
        </w:rPr>
        <w:t xml:space="preserve">2</w:t>
      </w:r>
      <w:r>
        <w:rPr>
          <w:color w:val="000000"/>
          <w:sz w:val="24"/>
          <w:szCs w:val="24"/>
        </w:rPr>
        <w:t xml:space="preserve"> reaction. Finally, I applied my approach to the full-dimensional H</w:t>
      </w:r>
      <w:r>
        <w:rPr>
          <w:color w:val="000000"/>
          <w:position w:val="-4"/>
          <w:sz w:val="21"/>
          <w:szCs w:val="21"/>
          <w:vertAlign w:val="subscript"/>
        </w:rPr>
        <w:t xml:space="preserve">2</w:t>
      </w:r>
      <w:r>
        <w:rPr>
          <w:color w:val="000000"/>
          <w:sz w:val="24"/>
          <w:szCs w:val="24"/>
        </w:rPr>
        <w:t xml:space="preserve"> + D = H + HD reaction. In the case of the Eckart potential the computed reaction rate coefficients showed good agreement with the analytical results. There is also excellent agreement with the literature results for the other two bimolecular chemical reactions, across a large temperature range. During the validation of my code, I identified issues with nonphysical eigenvalues of the thermal flux operator, which were avoided by introducing an additional term in the potential.</w:t>
      </w:r>
      <w:r>
        <w:rPr>
          <w:color w:val="000000"/>
          <w:sz w:val="24"/>
          <w:szCs w:val="24"/>
        </w:rPr>
        <w:br/>
        <w:t xml:space="preserve">There are several planned extensions of my research work. For example, I would like to treat systems with more than three atoms, and I would like to investigate the isotopic kinetic effect for reactions of astronomical interest, especially for systems containing light atoms and at low temperatures, where quantum effects are important.</w:t>
      </w:r>
    </w:p>
    <w:p>
      <w:pPr>
        <w:widowControl w:val="on"/>
        <w:pBdr/>
        <w:spacing w:before="240" w:after="240" w:line="240" w:lineRule="auto"/>
        <w:ind w:left="0" w:right="0"/>
        <w:jc w:val="left"/>
      </w:pPr>
      <w:r>
        <w:rPr>
          <w:color w:val="000000"/>
          <w:sz w:val="24"/>
          <w:szCs w:val="24"/>
        </w:rPr>
        <w:t xml:space="preserve">[1] Miller, W. H.; Schwartz, S. D.; Tromp, J. W. The Journal of Chemical Physics, 79, 4889–4898 (1983)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00722">
    <w:multiLevelType w:val="hybridMultilevel"/>
    <w:lvl w:ilvl="0" w:tplc="37052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00722">
    <w:abstractNumId w:val="88400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1450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