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STEIN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anna.stein.1011@gmail.com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Sármezey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TTK AKI Polimer Kémiai és Fizikai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 AKI Polimer Kémiai és Fizikai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Szerkezeti paraméterekkel tervezhető termoreszponzív viselkedésű poli(N-izopropil-(met)akrilamid-ko-poli(etilén-glikol)-(met)akrilát) kopolimerek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N-izopropil-akrilamid; N-izopropil-metakrilamid; poli(etilén-glikol)-(met)akrilát; termoreszponzív kopolimerek; kritikus szételegyedési hőmérséklet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kiemelkedő kutatási irányát képezik a termoreszponzív polimerek, tekintettel széles körű alkalmazási lehetőségeikre a gyógyászattól a nanotechnológiákig. Ennek megfelelően ezen anyagok kritikus szételegyedési hőmérsékletének (CST) előre tervezhető változtatása jelentős fontosságú azok felhasználása szempontjából. A munkám során célom volt, hogy N-izopropil-akrilamid (NIPAAm) és N-izopropil-metakrilamid (NIPMAAm) különböző lánchosszúságú poli(etilén-glikol)-(met)akrilát (PEG(M)A) komonomerek (DEGEEA, mPEGA480, mPEGA640, mPEGMA300, mPEGMA500) felhasználásával gyökös polimerizációt alkalmazva különböző összetételű, biokompatibilis összetevőkből álló random P[NIP(M)AAm-ko-mPEG(M)A] kopolimereket szintetizáljak, és így egy olyan polimer könyvtárat nyerjek, melynek vizsgálatával feltárjam a kopolimerek szerkezete és a termoreszponzív viselkedésük közti összefüggéseket. Az előállított kopolimereket gélpermeációs kromatográfiával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spektroszkópiával vizsgáltam. Turbidimetriás mérésekkel meghatároztam az LCST típusú homo- és kopolimerek felhősödési (T</w:t>
      </w:r>
      <w:r>
        <w:rPr>
          <w:color w:val="000000"/>
          <w:position w:val="-4"/>
          <w:sz w:val="21"/>
          <w:szCs w:val="21"/>
          <w:vertAlign w:val="subscript"/>
        </w:rPr>
        <w:t xml:space="preserve">CP</w:t>
      </w:r>
      <w:r>
        <w:rPr>
          <w:color w:val="000000"/>
          <w:sz w:val="24"/>
          <w:szCs w:val="24"/>
        </w:rPr>
        <w:t xml:space="preserve">) és kitisztulási (T</w:t>
      </w:r>
      <w:r>
        <w:rPr>
          <w:color w:val="000000"/>
          <w:position w:val="-4"/>
          <w:sz w:val="21"/>
          <w:szCs w:val="21"/>
          <w:vertAlign w:val="subscript"/>
        </w:rPr>
        <w:t xml:space="preserve">CL</w:t>
      </w:r>
      <w:r>
        <w:rPr>
          <w:color w:val="000000"/>
          <w:sz w:val="24"/>
          <w:szCs w:val="24"/>
        </w:rPr>
        <w:t xml:space="preserve">) hőmérséklet értékeit. A mérés eredménye alapján megállapítottam, hogy minden PEG(M)A-alapú komonomer esetén a kopolimerbe beépült PEG(M)A mennyiségével lineárisan változnak a kopolimerek T</w:t>
      </w:r>
      <w:r>
        <w:rPr>
          <w:color w:val="000000"/>
          <w:position w:val="-4"/>
          <w:sz w:val="21"/>
          <w:szCs w:val="21"/>
          <w:vertAlign w:val="subscript"/>
        </w:rPr>
        <w:t xml:space="preserve">CP</w:t>
      </w:r>
      <w:r>
        <w:rPr>
          <w:color w:val="000000"/>
          <w:sz w:val="24"/>
          <w:szCs w:val="24"/>
        </w:rPr>
        <w:t xml:space="preserve"> és T</w:t>
      </w:r>
      <w:r>
        <w:rPr>
          <w:color w:val="000000"/>
          <w:position w:val="-4"/>
          <w:sz w:val="21"/>
          <w:szCs w:val="21"/>
          <w:vertAlign w:val="subscript"/>
        </w:rPr>
        <w:t xml:space="preserve">CL</w:t>
      </w:r>
      <w:r>
        <w:rPr>
          <w:color w:val="000000"/>
          <w:sz w:val="24"/>
          <w:szCs w:val="24"/>
        </w:rPr>
        <w:t xml:space="preserve"> értékei a vizsgált összetétel tartományban, valamint a változás iránya és mértéke a PEG(M)A komonomer filicitásával jelentősen befolyásolható. Ezen felül a beépített PEG(M)A komonomer ismétlődő egységeinek számával, azaz a PEG(M)A molekulatömegének növelésével a kopolimerek CST értékeinek összetételtől való függésére illeszthető egyenes meredeksége is növekszik. Megállapítottam, hogy mind a NIPAAm, mind a NIPMAAm esetében a T</w:t>
      </w:r>
      <w:r>
        <w:rPr>
          <w:color w:val="000000"/>
          <w:position w:val="-4"/>
          <w:sz w:val="21"/>
          <w:szCs w:val="21"/>
          <w:vertAlign w:val="subscript"/>
        </w:rPr>
        <w:t xml:space="preserve">CP</w:t>
      </w:r>
      <w:r>
        <w:rPr>
          <w:color w:val="000000"/>
          <w:sz w:val="24"/>
          <w:szCs w:val="24"/>
        </w:rPr>
        <w:t xml:space="preserve"> és T</w:t>
      </w:r>
      <w:r>
        <w:rPr>
          <w:color w:val="000000"/>
          <w:position w:val="-4"/>
          <w:sz w:val="21"/>
          <w:szCs w:val="21"/>
          <w:vertAlign w:val="subscript"/>
        </w:rPr>
        <w:t xml:space="preserve">CL</w:t>
      </w:r>
      <w:r>
        <w:rPr>
          <w:color w:val="000000"/>
          <w:sz w:val="24"/>
          <w:szCs w:val="24"/>
        </w:rPr>
        <w:t xml:space="preserve"> értékek az összetétel mellett a PEG(M)A komonomer etilén-glikol ismétlődő egységeinek számával, azaz két egyszerű szerkezeti paraméterrel skálázhatók a megállapított koefficiensek ismeretében a következő összefüggés szerint: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=T</w:t>
      </w:r>
      <w:r>
        <w:rPr>
          <w:color w:val="000000"/>
          <w:position w:val="-4"/>
          <w:sz w:val="21"/>
          <w:szCs w:val="21"/>
          <w:vertAlign w:val="subscript"/>
        </w:rPr>
        <w:t xml:space="preserve">C,0</w:t>
      </w:r>
      <w:r>
        <w:rPr>
          <w:color w:val="000000"/>
          <w:sz w:val="24"/>
          <w:szCs w:val="24"/>
        </w:rPr>
        <w:t xml:space="preserve">+(a+b×logn</w:t>
      </w:r>
      <w:r>
        <w:rPr>
          <w:color w:val="000000"/>
          <w:position w:val="-4"/>
          <w:sz w:val="21"/>
          <w:szCs w:val="21"/>
          <w:vertAlign w:val="subscript"/>
        </w:rPr>
        <w:t xml:space="preserve">EG</w:t>
      </w:r>
      <w:r>
        <w:rPr>
          <w:color w:val="000000"/>
          <w:sz w:val="24"/>
          <w:szCs w:val="24"/>
        </w:rPr>
        <w:t xml:space="preserve">)×X</w:t>
      </w:r>
      <w:r>
        <w:rPr>
          <w:color w:val="000000"/>
          <w:position w:val="-4"/>
          <w:sz w:val="21"/>
          <w:szCs w:val="21"/>
          <w:vertAlign w:val="subscript"/>
        </w:rPr>
        <w:t xml:space="preserve">PEG(M)A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ahol a = −1,09 és b = 2,71 a felhősödés, illetve a = −1,02 és b = 2,69 a kitisztulás esetében a NIPAAm, míg a = −1,27 és b = 2,33 a felhősödés, illetve a = −1,28 és b = 2,35 a kitisztulás esetén a NIPMAAm kopolimerjeire. Ez az egyedülálló, eddig az irodalomban tudomásunk szerint nem ismert összefüggés lehetővé teszi előre tervezhető termoreszponzív viselkedéssel rendelkező polimerek előállítását.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23760">
    <w:multiLevelType w:val="hybridMultilevel"/>
    <w:lvl w:ilvl="0" w:tplc="92215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23760">
    <w:abstractNumId w:val="85823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814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